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BD4EEE" w14:textId="77777777" w:rsidR="009A020C" w:rsidRPr="00DB45A5" w:rsidRDefault="009A020C" w:rsidP="009A020C">
      <w:pPr>
        <w:spacing w:line="240" w:lineRule="auto"/>
        <w:jc w:val="right"/>
        <w:rPr>
          <w:rFonts w:ascii="Code3of9" w:hAnsi="Code3of9" w:cs="Code3of9"/>
          <w:sz w:val="40"/>
          <w:szCs w:val="40"/>
        </w:rPr>
      </w:pPr>
      <w:bookmarkStart w:id="0" w:name="_GoBack"/>
      <w:bookmarkEnd w:id="0"/>
      <w:r w:rsidRPr="00DB45A5">
        <w:rPr>
          <w:rFonts w:ascii="Code3of9" w:hAnsi="Code3of9" w:cs="Code3of9"/>
          <w:sz w:val="40"/>
          <w:szCs w:val="40"/>
        </w:rPr>
        <w:t>*20261000212421*</w:t>
      </w:r>
    </w:p>
    <w:p w14:paraId="1389E910" w14:textId="77777777" w:rsidR="009A020C" w:rsidRDefault="009A020C" w:rsidP="009A020C">
      <w:pPr>
        <w:spacing w:line="240" w:lineRule="auto"/>
        <w:jc w:val="right"/>
        <w:rPr>
          <w:rFonts w:ascii="Arial Narrow" w:hAnsi="Arial Narrow"/>
        </w:rPr>
      </w:pPr>
      <w:r w:rsidRPr="004471C0">
        <w:rPr>
          <w:rFonts w:ascii="Arial Narrow" w:hAnsi="Arial Narrow"/>
          <w:b/>
        </w:rPr>
        <w:t>Al contestar por favor cite estos datos</w:t>
      </w:r>
      <w:r>
        <w:rPr>
          <w:rFonts w:ascii="Arial Narrow" w:hAnsi="Arial Narrow"/>
        </w:rPr>
        <w:t>:</w:t>
      </w:r>
    </w:p>
    <w:p w14:paraId="2CBED42B" w14:textId="77777777" w:rsidR="009A020C" w:rsidRDefault="009A020C" w:rsidP="009A020C">
      <w:pPr>
        <w:spacing w:line="240" w:lineRule="auto"/>
        <w:jc w:val="right"/>
        <w:rPr>
          <w:rFonts w:ascii="Arial Narrow" w:hAnsi="Arial Narrow"/>
          <w:b/>
          <w:bCs/>
        </w:rPr>
      </w:pPr>
      <w:r>
        <w:rPr>
          <w:rFonts w:ascii="Arial Narrow" w:hAnsi="Arial Narrow"/>
        </w:rPr>
        <w:t xml:space="preserve">Radicado No.: </w:t>
      </w:r>
      <w:r>
        <w:rPr>
          <w:rFonts w:ascii="Arial Narrow" w:hAnsi="Arial Narrow"/>
          <w:b/>
          <w:bCs/>
        </w:rPr>
        <w:t>20261000212421</w:t>
      </w:r>
    </w:p>
    <w:p w14:paraId="2FDE48CB" w14:textId="77777777" w:rsidR="009A020C" w:rsidRPr="004471C0" w:rsidRDefault="009A020C" w:rsidP="009A020C">
      <w:pPr>
        <w:spacing w:line="240" w:lineRule="auto"/>
        <w:jc w:val="right"/>
        <w:rPr>
          <w:sz w:val="20"/>
          <w:szCs w:val="20"/>
        </w:rPr>
      </w:pPr>
      <w:r w:rsidRPr="004471C0">
        <w:rPr>
          <w:rFonts w:ascii="Arial Narrow" w:hAnsi="Arial Narrow"/>
          <w:bCs/>
          <w:sz w:val="20"/>
          <w:szCs w:val="20"/>
        </w:rPr>
        <w:t xml:space="preserve">Fecha: </w:t>
      </w:r>
      <w:r w:rsidRPr="004471C0">
        <w:rPr>
          <w:b/>
          <w:bCs/>
          <w:sz w:val="20"/>
          <w:szCs w:val="20"/>
          <w:lang w:val="es-ES"/>
        </w:rPr>
        <w:t>2026-06-04</w:t>
      </w:r>
    </w:p>
    <w:p w14:paraId="7D9B5F0C" w14:textId="77777777" w:rsidR="009A020C" w:rsidRPr="00F970D3" w:rsidRDefault="009A020C" w:rsidP="009A020C">
      <w:pPr>
        <w:spacing w:line="240" w:lineRule="auto"/>
        <w:jc w:val="right"/>
        <w:rPr>
          <w:rFonts w:ascii="Arial Narrow" w:hAnsi="Arial Narrow"/>
        </w:rPr>
      </w:pPr>
      <w:r w:rsidRPr="00F970D3">
        <w:rPr>
          <w:rFonts w:ascii="Arial Narrow" w:hAnsi="Arial Narrow"/>
        </w:rPr>
        <w:t xml:space="preserve"> GERENCIA</w:t>
      </w:r>
    </w:p>
    <w:p w14:paraId="4C9A3E41" w14:textId="77777777" w:rsidR="00FF1F16" w:rsidRDefault="004A6500">
      <w:pP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Arquitecta</w:t>
      </w:r>
    </w:p>
    <w:p w14:paraId="545316DC" w14:textId="77777777" w:rsidR="00FF1F16" w:rsidRDefault="004A6500">
      <w:pPr>
        <w:spacing w:line="240" w:lineRule="auto"/>
        <w:jc w:val="both"/>
        <w:rPr>
          <w:rFonts w:ascii="Arial Narrow" w:eastAsia="Arial Narrow" w:hAnsi="Arial Narrow" w:cs="Arial Narrow"/>
          <w:b/>
          <w:bCs/>
          <w:sz w:val="24"/>
          <w:szCs w:val="24"/>
        </w:rPr>
      </w:pPr>
      <w:r>
        <w:rPr>
          <w:rFonts w:ascii="Arial Narrow" w:eastAsia="Arial Narrow" w:hAnsi="Arial Narrow" w:cs="Arial Narrow"/>
          <w:b/>
          <w:bCs/>
          <w:sz w:val="24"/>
          <w:szCs w:val="24"/>
        </w:rPr>
        <w:t>LILIANA RICARDO BETANCOURT</w:t>
      </w:r>
    </w:p>
    <w:p w14:paraId="12A0C832" w14:textId="77777777" w:rsidR="00FF1F16" w:rsidRDefault="004A6500">
      <w:pP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Coordinadora Grupo Unidad de Movilidad Urbana Sostenible (E)</w:t>
      </w:r>
    </w:p>
    <w:p w14:paraId="3D2CEA93" w14:textId="77777777" w:rsidR="00FF1F16" w:rsidRDefault="004A6500">
      <w:pPr>
        <w:spacing w:line="240" w:lineRule="auto"/>
        <w:jc w:val="both"/>
        <w:rPr>
          <w:rFonts w:ascii="Arial Narrow" w:eastAsia="Arial Narrow" w:hAnsi="Arial Narrow" w:cs="Arial Narrow"/>
          <w:color w:val="0000FF"/>
          <w:sz w:val="24"/>
          <w:szCs w:val="24"/>
          <w:u w:val="single"/>
        </w:rPr>
      </w:pPr>
      <w:r>
        <w:rPr>
          <w:rFonts w:ascii="Arial Narrow" w:eastAsia="Arial Narrow" w:hAnsi="Arial Narrow" w:cs="Arial Narrow"/>
          <w:color w:val="0000FF"/>
          <w:sz w:val="24"/>
          <w:szCs w:val="24"/>
          <w:u w:val="single"/>
        </w:rPr>
        <w:t>lbetancourt@mintransporte.gov.co</w:t>
      </w:r>
    </w:p>
    <w:p w14:paraId="7F2FDD05" w14:textId="77777777" w:rsidR="00FF1F16" w:rsidRDefault="004A6500">
      <w:pP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Ministerio de Transporte</w:t>
      </w:r>
    </w:p>
    <w:p w14:paraId="6A3EFDED" w14:textId="77777777" w:rsidR="00FF1F16" w:rsidRDefault="00FF1F16">
      <w:pPr>
        <w:spacing w:line="240" w:lineRule="auto"/>
        <w:jc w:val="both"/>
        <w:rPr>
          <w:rFonts w:ascii="Arial Narrow" w:eastAsia="Arial Narrow" w:hAnsi="Arial Narrow" w:cs="Arial Narrow"/>
          <w:sz w:val="24"/>
          <w:szCs w:val="24"/>
        </w:rPr>
      </w:pPr>
    </w:p>
    <w:p w14:paraId="0DA069B5"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Ingeniero </w:t>
      </w:r>
    </w:p>
    <w:p w14:paraId="5E03FADA" w14:textId="77777777" w:rsidR="00FF1F16" w:rsidRDefault="004A6500">
      <w:pP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DANIEL ARTURO QUINTANA RUBIANO</w:t>
      </w:r>
    </w:p>
    <w:p w14:paraId="59BB5C94"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Líder Grupo UMUS para SETP Popayán</w:t>
      </w:r>
    </w:p>
    <w:p w14:paraId="03DB7C60"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color w:val="0000FF"/>
          <w:sz w:val="24"/>
          <w:szCs w:val="24"/>
          <w:u w:val="single"/>
        </w:rPr>
      </w:pPr>
      <w:r>
        <w:rPr>
          <w:rFonts w:ascii="Arial Narrow" w:eastAsia="Arial Narrow" w:hAnsi="Arial Narrow" w:cs="Arial Narrow"/>
          <w:color w:val="0000FF"/>
          <w:sz w:val="24"/>
          <w:szCs w:val="24"/>
          <w:u w:val="single"/>
        </w:rPr>
        <w:t xml:space="preserve">dquintana@mintransporte.gov.co </w:t>
      </w:r>
    </w:p>
    <w:p w14:paraId="163F23DA"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Ministerio de Transporte</w:t>
      </w:r>
    </w:p>
    <w:p w14:paraId="0F4F25C9" w14:textId="77777777" w:rsidR="00FF1F16" w:rsidRDefault="00FF1F16">
      <w:pPr>
        <w:spacing w:line="240" w:lineRule="auto"/>
        <w:rPr>
          <w:rFonts w:ascii="Arial Narrow" w:eastAsia="Arial Narrow" w:hAnsi="Arial Narrow" w:cs="Arial Narrow"/>
          <w:sz w:val="24"/>
          <w:szCs w:val="24"/>
        </w:rPr>
      </w:pPr>
    </w:p>
    <w:p w14:paraId="6A693D59"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b/>
          <w:bCs/>
          <w:sz w:val="24"/>
          <w:szCs w:val="24"/>
        </w:rPr>
        <w:t>Referencia:</w:t>
      </w:r>
      <w:r>
        <w:rPr>
          <w:rFonts w:ascii="Arial Narrow" w:eastAsia="Arial Narrow" w:hAnsi="Arial Narrow" w:cs="Arial Narrow"/>
          <w:sz w:val="24"/>
          <w:szCs w:val="24"/>
        </w:rPr>
        <w:t xml:space="preserve"> Seguimiento Memorando de Entendimiento Otrosí No. 6- SETP Popayán y presentación de informe de ejecución EG</w:t>
      </w:r>
    </w:p>
    <w:p w14:paraId="62637B69" w14:textId="77777777" w:rsidR="00FF1F16" w:rsidRDefault="00FF1F16">
      <w:pPr>
        <w:spacing w:line="240" w:lineRule="auto"/>
        <w:jc w:val="both"/>
        <w:rPr>
          <w:rFonts w:ascii="Arial Narrow" w:eastAsia="Arial Narrow" w:hAnsi="Arial Narrow" w:cs="Arial Narrow"/>
          <w:sz w:val="24"/>
          <w:szCs w:val="24"/>
        </w:rPr>
      </w:pPr>
    </w:p>
    <w:p w14:paraId="1D82638F"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Asunto: </w:t>
      </w:r>
      <w:r>
        <w:rPr>
          <w:rFonts w:ascii="Arial Narrow" w:eastAsia="Arial Narrow" w:hAnsi="Arial Narrow" w:cs="Arial Narrow"/>
          <w:sz w:val="24"/>
          <w:szCs w:val="24"/>
        </w:rPr>
        <w:t>Respuesta citación a reunión de seguimiento – Alertas derivadas del informe trimestral IV-2025.</w:t>
      </w:r>
    </w:p>
    <w:p w14:paraId="2E321475" w14:textId="77777777" w:rsidR="00FF1F16" w:rsidRDefault="00FF1F16">
      <w:pPr>
        <w:jc w:val="both"/>
        <w:rPr>
          <w:rFonts w:ascii="Arial Narrow" w:eastAsia="Arial Narrow" w:hAnsi="Arial Narrow" w:cs="Arial Narrow"/>
          <w:sz w:val="24"/>
          <w:szCs w:val="24"/>
        </w:rPr>
      </w:pPr>
    </w:p>
    <w:p w14:paraId="5247861F" w14:textId="77777777" w:rsidR="00FF1F16" w:rsidRDefault="00FF1F16">
      <w:pPr>
        <w:jc w:val="both"/>
        <w:rPr>
          <w:rFonts w:ascii="Arial Narrow" w:eastAsia="Arial Narrow" w:hAnsi="Arial Narrow" w:cs="Arial Narrow"/>
          <w:sz w:val="24"/>
          <w:szCs w:val="24"/>
        </w:rPr>
      </w:pPr>
    </w:p>
    <w:p w14:paraId="1CF14741" w14:textId="77777777" w:rsidR="00FF1F16" w:rsidRDefault="004A6500">
      <w:pP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Cordial saludo,</w:t>
      </w:r>
    </w:p>
    <w:p w14:paraId="6F4742FB"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En atención al seguimiento efectuado respecto del Memorando de Entendimiento suscrito el 17 de diciembre de 2025, asociado al Otrosí No. 6 del Convenio de Cofinanciación del Sistema Estratégico de Transporte Público – SETP de Popayán, y conforme a lo acordado durante la reunión adelantada el 20 de abril de 2026, Movilidad Futura S.A.S., en calidad de Ente Gestor del SETP, se permite presentar el informe de avance y cumplimiento de los compromisos allí contenidos, así como las acciones adelantadas, dificultades identificadas y propuestas de reprogramación orientadas a garantizar la continuidad y viabilidad del proceso de implementación del sistema.</w:t>
      </w:r>
    </w:p>
    <w:p w14:paraId="1BE18422"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3596C406"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El presente informe permite evidenciar la gestión institucional adelantada por el Ente Gestor y las entidades involucradas en el desarrollo de los compromisos priorizados, identificando igualmente aquellos componentes cuya ejecución depende de procesos contractuales, articulación interinstitucional y decisiones concurrentes necesarias para la materialización de los hitos definidos en el Memorando de Entendimiento.</w:t>
      </w:r>
    </w:p>
    <w:p w14:paraId="73EAF271"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1763D835"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En ese sentido, la información remitida no solo expone el estado actual de los compromisos, sino que busca contextualizar las condiciones técnicas, administrativas y operativas que han incidido en la necesidad de ajustar algunos cronogramas inicialmente previstos, particularmente en componentes asociados a la interventoría ITS, implementación tecnológica, sostenibilidad financiera, operación e infraestructura del sistema.</w:t>
      </w:r>
    </w:p>
    <w:p w14:paraId="6C6A262B"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3F473350"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Movilidad Futura S.A.S. reitera su compromiso con la implementación y puesta en operación del SETP de Popayán y presenta las reprogramaciones propuestas como medidas orientadas a armonizar los compromisos inicialmente definidos con las condiciones reales del proyecto, privilegiando la toma de decisiones sobre información verificable y técnicamente sustentada.</w:t>
      </w:r>
    </w:p>
    <w:p w14:paraId="298848EC"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6C625CCC"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En consecuencia, se remite el informe anexo para su conocimiento, revisión y acompañamiento institucional</w:t>
      </w:r>
    </w:p>
    <w:p w14:paraId="148F00DD"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4D20D069"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Atentamente,</w:t>
      </w:r>
    </w:p>
    <w:p w14:paraId="7EE839D6"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2DFFC3F3" w14:textId="77777777" w:rsidR="009A020C" w:rsidRDefault="009A020C">
      <w:pPr>
        <w:jc w:val="both"/>
        <w:rPr>
          <w:rFonts w:ascii="Arial Narrow" w:eastAsia="Arial Narrow" w:hAnsi="Arial Narrow" w:cs="Arial Narrow"/>
          <w:sz w:val="24"/>
          <w:szCs w:val="24"/>
        </w:rPr>
      </w:pPr>
    </w:p>
    <w:p w14:paraId="480D08D5" w14:textId="77777777" w:rsidR="009A020C" w:rsidRDefault="009A020C">
      <w:pPr>
        <w:jc w:val="both"/>
        <w:rPr>
          <w:rFonts w:ascii="Arial Narrow" w:eastAsia="Arial Narrow" w:hAnsi="Arial Narrow" w:cs="Arial Narrow"/>
          <w:sz w:val="24"/>
          <w:szCs w:val="24"/>
        </w:rPr>
      </w:pPr>
    </w:p>
    <w:p w14:paraId="3718BF20" w14:textId="77777777" w:rsidR="00FF1F16" w:rsidRDefault="00FF1F16">
      <w:pPr>
        <w:jc w:val="both"/>
        <w:rPr>
          <w:rFonts w:ascii="Arial Narrow" w:eastAsia="Arial Narrow" w:hAnsi="Arial Narrow" w:cs="Arial Narrow"/>
          <w:sz w:val="24"/>
          <w:szCs w:val="24"/>
        </w:rPr>
      </w:pPr>
    </w:p>
    <w:p w14:paraId="4B69101B" w14:textId="77777777" w:rsidR="00FF1F16" w:rsidRDefault="004A6500">
      <w:pP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ROBINSON FELIPE ACOSTA ORTEGA</w:t>
      </w:r>
    </w:p>
    <w:p w14:paraId="189BC1B7"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Gerente </w:t>
      </w:r>
    </w:p>
    <w:p w14:paraId="2A633E28"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MOVILIDAD FUTURA S.A.S</w:t>
      </w:r>
    </w:p>
    <w:p w14:paraId="3C54529B" w14:textId="77777777" w:rsidR="00FF1F16" w:rsidRDefault="00FF1F16">
      <w:pPr>
        <w:spacing w:line="240" w:lineRule="auto"/>
        <w:rPr>
          <w:rFonts w:ascii="Arial Narrow" w:eastAsia="Arial Narrow" w:hAnsi="Arial Narrow" w:cs="Arial Narrow"/>
        </w:rPr>
      </w:pPr>
    </w:p>
    <w:p w14:paraId="09F1E87E" w14:textId="77777777" w:rsidR="00FF1F16" w:rsidRDefault="004A6500">
      <w:pPr>
        <w:spacing w:line="240" w:lineRule="auto"/>
        <w:rPr>
          <w:rFonts w:ascii="Arial Narrow" w:eastAsia="Arial Narrow" w:hAnsi="Arial Narrow" w:cs="Arial Narrow"/>
          <w:sz w:val="18"/>
          <w:szCs w:val="18"/>
        </w:rPr>
      </w:pPr>
      <w:r>
        <w:rPr>
          <w:rFonts w:ascii="Arial Narrow" w:eastAsia="Arial Narrow" w:hAnsi="Arial Narrow" w:cs="Arial Narrow"/>
          <w:sz w:val="18"/>
          <w:szCs w:val="18"/>
        </w:rPr>
        <w:t>Proyectó: Gloria Patricia Bolaños Mosquera – Contratista Coordinador Operaciones</w:t>
      </w:r>
    </w:p>
    <w:p w14:paraId="2070D7A2" w14:textId="77777777" w:rsidR="00FF1F16" w:rsidRDefault="004A6500">
      <w:pPr>
        <w:spacing w:line="240" w:lineRule="auto"/>
        <w:ind w:firstLine="720"/>
        <w:rPr>
          <w:rFonts w:ascii="Arial Narrow" w:eastAsia="Arial Narrow" w:hAnsi="Arial Narrow" w:cs="Arial Narrow"/>
          <w:sz w:val="18"/>
          <w:szCs w:val="18"/>
        </w:rPr>
      </w:pPr>
      <w:r>
        <w:rPr>
          <w:rFonts w:ascii="Arial Narrow" w:eastAsia="Arial Narrow" w:hAnsi="Arial Narrow" w:cs="Arial Narrow"/>
          <w:sz w:val="18"/>
          <w:szCs w:val="18"/>
        </w:rPr>
        <w:t>Manuel Alberto Parra Tobar – Líder Jurídico Movilidad Futura S.A.S./</w:t>
      </w:r>
    </w:p>
    <w:p w14:paraId="240D1BA0" w14:textId="77777777" w:rsidR="00FF1F16" w:rsidRDefault="004A6500">
      <w:pPr>
        <w:spacing w:line="240" w:lineRule="auto"/>
        <w:rPr>
          <w:rFonts w:ascii="Arial Narrow" w:eastAsia="Arial Narrow" w:hAnsi="Arial Narrow" w:cs="Arial Narrow"/>
          <w:b/>
          <w:bCs/>
          <w:color w:val="222222"/>
          <w:sz w:val="18"/>
          <w:szCs w:val="18"/>
          <w:highlight w:val="white"/>
        </w:rPr>
      </w:pPr>
      <w:r>
        <w:rPr>
          <w:rFonts w:ascii="Arial Narrow" w:eastAsia="Arial Narrow" w:hAnsi="Arial Narrow" w:cs="Arial Narrow"/>
          <w:sz w:val="18"/>
          <w:szCs w:val="18"/>
        </w:rPr>
        <w:t xml:space="preserve">Revisó: </w:t>
      </w:r>
      <w:r>
        <w:rPr>
          <w:rFonts w:ascii="Arial Narrow" w:eastAsia="Arial Narrow" w:hAnsi="Arial Narrow" w:cs="Arial Narrow"/>
          <w:sz w:val="18"/>
          <w:szCs w:val="18"/>
        </w:rPr>
        <w:tab/>
        <w:t>Manuel Alberto Parra Tobar – Líder Jurídico Movilidad Futura S.A.S./</w:t>
      </w:r>
    </w:p>
    <w:p w14:paraId="25E97E53" w14:textId="77777777" w:rsidR="00FF1F16" w:rsidRDefault="004A6500">
      <w:pPr>
        <w:spacing w:line="240" w:lineRule="auto"/>
        <w:rPr>
          <w:rFonts w:ascii="Arial Narrow" w:eastAsia="Arial Narrow" w:hAnsi="Arial Narrow" w:cs="Arial Narrow"/>
        </w:rPr>
      </w:pPr>
      <w:proofErr w:type="spellStart"/>
      <w:r>
        <w:rPr>
          <w:rFonts w:ascii="Arial Narrow" w:eastAsia="Arial Narrow" w:hAnsi="Arial Narrow" w:cs="Arial Narrow"/>
          <w:sz w:val="18"/>
          <w:szCs w:val="18"/>
        </w:rPr>
        <w:t>VoBo</w:t>
      </w:r>
      <w:proofErr w:type="spellEnd"/>
      <w:r>
        <w:rPr>
          <w:rFonts w:ascii="Arial Narrow" w:eastAsia="Arial Narrow" w:hAnsi="Arial Narrow" w:cs="Arial Narrow"/>
          <w:sz w:val="18"/>
          <w:szCs w:val="18"/>
        </w:rPr>
        <w:t xml:space="preserve">: </w:t>
      </w:r>
      <w:r>
        <w:rPr>
          <w:rFonts w:ascii="Arial Narrow" w:eastAsia="Arial Narrow" w:hAnsi="Arial Narrow" w:cs="Arial Narrow"/>
          <w:sz w:val="18"/>
          <w:szCs w:val="18"/>
        </w:rPr>
        <w:tab/>
        <w:t>Robinson Felipe Acosta Ortega – Gerente.</w:t>
      </w:r>
    </w:p>
    <w:p w14:paraId="09A00EA5" w14:textId="77777777" w:rsidR="00FF1F16" w:rsidRDefault="004A6500">
      <w:pPr>
        <w:rPr>
          <w:rFonts w:ascii="Arial Narrow" w:eastAsia="Arial Narrow" w:hAnsi="Arial Narrow" w:cs="Arial Narrow"/>
          <w:i/>
          <w:iCs/>
        </w:rPr>
      </w:pPr>
      <w:r>
        <w:br w:type="page"/>
      </w:r>
    </w:p>
    <w:p w14:paraId="5C5E9746" w14:textId="77777777" w:rsidR="00FF1F16" w:rsidRDefault="00FF1F16">
      <w:pPr>
        <w:spacing w:line="240" w:lineRule="auto"/>
        <w:ind w:left="720"/>
        <w:jc w:val="both"/>
        <w:rPr>
          <w:rFonts w:ascii="Arial Narrow" w:eastAsia="Arial Narrow" w:hAnsi="Arial Narrow" w:cs="Arial Narrow"/>
          <w:i/>
          <w:iCs/>
        </w:rPr>
      </w:pPr>
    </w:p>
    <w:p w14:paraId="33DE2F46"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PROBLEMAS CRÍTICOS DEL SETP</w:t>
      </w:r>
    </w:p>
    <w:p w14:paraId="6DC857E9" w14:textId="77777777" w:rsidR="00FF1F16" w:rsidRDefault="004A6500">
      <w:pPr>
        <w:numPr>
          <w:ilvl w:val="0"/>
          <w:numId w:val="1"/>
        </w:numPr>
        <w:pBdr>
          <w:top w:val="nil"/>
          <w:left w:val="nil"/>
          <w:bottom w:val="nil"/>
          <w:right w:val="nil"/>
          <w:between w:val="nil"/>
        </w:pBdr>
        <w:spacing w:line="240" w:lineRule="auto"/>
        <w:ind w:left="284" w:hanging="11"/>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CONTRATAR INTERVENTORÍA PARA LA IMPLEMENTACIÓN DE LOS ITS PARA EL SETP.</w:t>
      </w:r>
    </w:p>
    <w:p w14:paraId="39E16A6C" w14:textId="77777777" w:rsidR="00FF1F16" w:rsidRDefault="00FF1F16">
      <w:pPr>
        <w:spacing w:line="240" w:lineRule="auto"/>
        <w:ind w:left="207"/>
        <w:rPr>
          <w:rFonts w:ascii="Arial Narrow" w:eastAsia="Arial Narrow" w:hAnsi="Arial Narrow" w:cs="Arial Narrow"/>
          <w:b/>
          <w:bCs/>
          <w:sz w:val="24"/>
          <w:szCs w:val="24"/>
        </w:rPr>
      </w:pPr>
    </w:p>
    <w:p w14:paraId="17BC96EA" w14:textId="77777777" w:rsidR="00FF1F16" w:rsidRDefault="004A6500">
      <w:pPr>
        <w:spacing w:line="240" w:lineRule="auto"/>
        <w:ind w:left="207"/>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Compromiso: </w:t>
      </w:r>
      <w:r>
        <w:rPr>
          <w:rFonts w:ascii="Arial Narrow" w:eastAsia="Arial Narrow" w:hAnsi="Arial Narrow" w:cs="Arial Narrow"/>
          <w:sz w:val="24"/>
          <w:szCs w:val="24"/>
        </w:rPr>
        <w:t>Iniciar contratación de la interventoría al contrato de tecnología para continuar con la instalación, pruebas y puesta en marcha de los SGCF y SRC.</w:t>
      </w:r>
    </w:p>
    <w:p w14:paraId="38F65524" w14:textId="77777777" w:rsidR="00FF1F16" w:rsidRDefault="004A6500">
      <w:pPr>
        <w:spacing w:line="240" w:lineRule="auto"/>
        <w:ind w:left="207"/>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Responsable: </w:t>
      </w:r>
      <w:r>
        <w:rPr>
          <w:rFonts w:ascii="Arial Narrow" w:eastAsia="Arial Narrow" w:hAnsi="Arial Narrow" w:cs="Arial Narrow"/>
          <w:sz w:val="24"/>
          <w:szCs w:val="24"/>
        </w:rPr>
        <w:t>Ente Gestor</w:t>
      </w:r>
    </w:p>
    <w:p w14:paraId="5D2D2084" w14:textId="77777777" w:rsidR="00FF1F16" w:rsidRDefault="004A6500">
      <w:pPr>
        <w:spacing w:line="240" w:lineRule="auto"/>
        <w:ind w:left="207"/>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Fecha inicial Límite: </w:t>
      </w:r>
      <w:r>
        <w:rPr>
          <w:rFonts w:ascii="Arial Narrow" w:eastAsia="Arial Narrow" w:hAnsi="Arial Narrow" w:cs="Arial Narrow"/>
          <w:sz w:val="24"/>
          <w:szCs w:val="24"/>
        </w:rPr>
        <w:t>diciembre de 2025</w:t>
      </w:r>
    </w:p>
    <w:p w14:paraId="27454B03" w14:textId="77777777" w:rsidR="00FF1F16" w:rsidRDefault="00FF1F16">
      <w:pPr>
        <w:spacing w:line="240" w:lineRule="auto"/>
        <w:ind w:left="284"/>
        <w:rPr>
          <w:rFonts w:ascii="Arial Narrow" w:eastAsia="Arial Narrow" w:hAnsi="Arial Narrow" w:cs="Arial Narrow"/>
          <w:b/>
          <w:bCs/>
          <w:sz w:val="24"/>
          <w:szCs w:val="24"/>
          <w:u w:val="single"/>
        </w:rPr>
      </w:pPr>
    </w:p>
    <w:p w14:paraId="285B6A83" w14:textId="77777777" w:rsidR="00FF1F16" w:rsidRDefault="004A6500">
      <w:pPr>
        <w:spacing w:line="240" w:lineRule="auto"/>
        <w:ind w:left="284"/>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p>
    <w:p w14:paraId="5611F4D0"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Frente a la contratación de la interventoría, la entidad adelantó el proceso  de concurso de méritos abierto MF-CMA-01-2025 publicado  el 9 de diciembre de 2025 en la página SECOP II, cuyo objeto es “</w:t>
      </w:r>
      <w:r>
        <w:rPr>
          <w:rFonts w:ascii="Arial Narrow" w:eastAsia="Arial Narrow" w:hAnsi="Arial Narrow" w:cs="Arial Narrow"/>
          <w:i/>
          <w:iCs/>
          <w:color w:val="000000"/>
          <w:sz w:val="24"/>
          <w:szCs w:val="24"/>
        </w:rPr>
        <w:t>REALIZAR LA INTERVENTORIA TECNICA, ADMINISTRATIVA, FINANCIERA Y JURÍDICA AL CONTRATO 246-2023 QUE TIENE POR OBJETO "SUMINISTRO, INSTALACIÓN, PARAMETRIZACIÓN Y PUESTA EN FUNCIONAMIENTO DE LOS EQUIPOS NECESARIOS PARA EL FUNCIONAMIENTO DEL SISTEMA DE RECAUDO CENTRALIZADO (SRC), SISTEMA DE CONTROL Y GESTIÓN DE FLOTA (SGCF) Y EL SISTEMA DE INFORMACIÓN Y SERVICIO AL USUARIO (SIU) PARA EL SISTEMA ESTRATÉGICO DE TRANSPORTE PÚBLICO DE POPAYÁN".</w:t>
      </w:r>
    </w:p>
    <w:p w14:paraId="09E9A582" w14:textId="77777777" w:rsidR="00FF1F16" w:rsidRDefault="00FF1F16">
      <w:pPr>
        <w:pBdr>
          <w:top w:val="nil"/>
          <w:left w:val="nil"/>
          <w:bottom w:val="nil"/>
          <w:right w:val="nil"/>
          <w:between w:val="nil"/>
        </w:pBdr>
        <w:spacing w:line="240" w:lineRule="auto"/>
        <w:ind w:left="426"/>
        <w:jc w:val="both"/>
        <w:rPr>
          <w:rFonts w:ascii="Arial Narrow" w:eastAsia="Arial Narrow" w:hAnsi="Arial Narrow" w:cs="Arial Narrow"/>
          <w:sz w:val="24"/>
          <w:szCs w:val="24"/>
        </w:rPr>
      </w:pPr>
    </w:p>
    <w:p w14:paraId="637F2CD0"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Durante la etapa precontractual del proceso se recibieron observaciones y manifestaciones de interés por parte de cinco (5) posibles oferentes, las cuales estuvieron asociadas principalmente a aspectos técnicos del contrato de suministro No. 246 de 2023 y al alcance de la interventoría proyectada. Estas observaciones fueron analizadas y atendidas por la entidad dentro de las etapas correspondientes del proceso de selección, permitiendo continuar con el desarrollo del concurso de méritos conforme al cronograma establecido.</w:t>
      </w:r>
    </w:p>
    <w:p w14:paraId="20E7176F"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5C7AB811"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En desarrollo del proceso contractual, el Ente Gestor adelantó las actuaciones correspondientes a publicación de respuestas a observaciones, apertura del proceso, recepción y evaluación de ofertas, así como el análisis técnico, jurídico y financiero de las propuestas presentadas, garantizando el cumplimiento de los principios de publicidad, transparencia y selección objetiva que rigen la contratación estatal.</w:t>
      </w:r>
    </w:p>
    <w:p w14:paraId="6AF44D99" w14:textId="77777777" w:rsidR="00FF1F16" w:rsidRDefault="00FF1F16">
      <w:pPr>
        <w:pBdr>
          <w:top w:val="nil"/>
          <w:left w:val="nil"/>
          <w:bottom w:val="nil"/>
          <w:right w:val="nil"/>
          <w:between w:val="nil"/>
        </w:pBdr>
        <w:spacing w:line="240" w:lineRule="auto"/>
        <w:ind w:left="426"/>
        <w:jc w:val="both"/>
        <w:rPr>
          <w:rFonts w:ascii="Arial Narrow" w:eastAsia="Arial Narrow" w:hAnsi="Arial Narrow" w:cs="Arial Narrow"/>
          <w:sz w:val="24"/>
          <w:szCs w:val="24"/>
        </w:rPr>
      </w:pPr>
    </w:p>
    <w:p w14:paraId="3951D63A" w14:textId="77777777" w:rsidR="00FF1F16" w:rsidRDefault="004A6500">
      <w:pPr>
        <w:spacing w:before="240" w:after="240"/>
        <w:ind w:left="283"/>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13943B6D"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Como resultado del proceso de selección adelantado, se recibieron dos (2) propuestas correspondientes al Consorcio Recaudo INGEOC y Comercializadora ORIKUA S.A.S., frente a las cuales se surtieron las etapas de evaluación preliminar, traslado de observaciones y verificación de requisitos habilitantes.</w:t>
      </w:r>
    </w:p>
    <w:p w14:paraId="38B87B99"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186A5C80"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Producto del análisis efectuado por el comité evaluador y una vez revisadas las observaciones y documentos subsanables allegados por los oferentes, se emitió recomendación de declaratoria de </w:t>
      </w:r>
      <w:r>
        <w:rPr>
          <w:rFonts w:ascii="Arial Narrow" w:eastAsia="Arial Narrow" w:hAnsi="Arial Narrow" w:cs="Arial Narrow"/>
          <w:sz w:val="24"/>
          <w:szCs w:val="24"/>
        </w:rPr>
        <w:lastRenderedPageBreak/>
        <w:t>desierta del proceso, teniendo en cuenta que ninguna de las propuestas cumplió integralmente con las condiciones y exigencias establecidas en el pliego de condiciones. Entre las causales identificadas se encontraron la no habilitación por experiencia específica del oferente, incumplimiento del personal mínimo exigido, insuficiencia en la acreditación de experiencia del equipo de trabajo y rechazo por no subsanar en debida forma la póliza de seriedad de la oferta.</w:t>
      </w:r>
    </w:p>
    <w:p w14:paraId="436B4BA7"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Con fundamento en lo anterior, el 24 de marzo de 2026 se expidió la resolución correspondiente de declaratoria de desierto, decisión que quedó en firme al no presentarse recurso alguno dentro del término legal previsto para ello.</w:t>
      </w:r>
    </w:p>
    <w:p w14:paraId="06422581"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32A5858E"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En este sentido, la declaratoria de desierta del proceso no constituye ausencia de gestión por parte del Ente Gestor, sino el resultado del deber legal de verificar el cumplimiento de los requisitos habilitantes y de garantizar los principios de transparencia, igualdad y selección objetiva que rigen la contratación estatal. En consecuencia, al no encontrarse oferentes habilitados conforme a las condiciones establecidas en el proceso, no resultaba jurídicamente procedente adjudicar el contrato de interventoría.</w:t>
      </w:r>
    </w:p>
    <w:p w14:paraId="13015B33"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3614795D"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Considerando que la interventoría ITS constituye una condición habilitante indispensable para continuar con la instalación, verificación, puesta en marcha y cierre técnico, legal y financiero de los sistemas tecnológicos asociados al recaudo, control de flota e información al usuario del SETP, el Ente Gestor estructuró una nueva ruta contractual y cronograma actualizado orientado a garantizar la continuidad del proceso y la implementación tecnológica del sistema. El nuevo cronograma contempla la reapertura del proceso contractual y proyecta el inicio de la interventoría para el mes de julio de 2026.</w:t>
      </w:r>
    </w:p>
    <w:p w14:paraId="4A80A35A" w14:textId="77777777" w:rsidR="00FF1F16" w:rsidRDefault="00FF1F16">
      <w:pPr>
        <w:pBdr>
          <w:top w:val="nil"/>
          <w:left w:val="nil"/>
          <w:bottom w:val="nil"/>
          <w:right w:val="nil"/>
          <w:between w:val="nil"/>
        </w:pBdr>
        <w:spacing w:before="240" w:after="240" w:line="240" w:lineRule="auto"/>
        <w:ind w:left="720"/>
        <w:jc w:val="both"/>
        <w:rPr>
          <w:rFonts w:ascii="Arial Narrow" w:eastAsia="Arial Narrow" w:hAnsi="Arial Narrow" w:cs="Arial Narrow"/>
          <w:sz w:val="24"/>
          <w:szCs w:val="24"/>
        </w:rPr>
      </w:pPr>
    </w:p>
    <w:p w14:paraId="440780DF"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p w14:paraId="6EE7C84B"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Se plantea nuevamente publicar el proceso, con el siguiente cronograma:</w:t>
      </w:r>
    </w:p>
    <w:p w14:paraId="4CFBEAEB" w14:textId="77777777"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De acuerdo con el cronograma establecido, se prevé que el proceso de selección sea adjudicado el día 3 de julio de 2026, siempre que las etapas previstas se desarrollen conforme a lo programado. No obstante, y considerando posibles situaciones imprevistas que puedan surgir durante el trámite del proceso, tales como observaciones, solicitudes de aclaración, expedición de adendas o aspectos administrativos propios de la evaluación, se estima que la adjudicación podría extenderse aproximadamente dos (2) semanas adicionales. </w:t>
      </w:r>
    </w:p>
    <w:p w14:paraId="77701501" w14:textId="77777777" w:rsidR="00FF1F16" w:rsidRDefault="00FF1F16">
      <w:pPr>
        <w:spacing w:before="240" w:after="240"/>
        <w:jc w:val="both"/>
        <w:rPr>
          <w:rFonts w:ascii="Arial Narrow" w:eastAsia="Arial Narrow" w:hAnsi="Arial Narrow" w:cs="Arial Narrow"/>
          <w:sz w:val="24"/>
          <w:szCs w:val="24"/>
        </w:rPr>
      </w:pPr>
    </w:p>
    <w:p w14:paraId="21E2CD30" w14:textId="77777777" w:rsidR="00FF1F16" w:rsidRDefault="00FF1F16">
      <w:pPr>
        <w:spacing w:before="240" w:after="240"/>
        <w:jc w:val="both"/>
        <w:rPr>
          <w:rFonts w:ascii="Arial Narrow" w:eastAsia="Arial Narrow" w:hAnsi="Arial Narrow" w:cs="Arial Narrow"/>
          <w:sz w:val="24"/>
          <w:szCs w:val="24"/>
        </w:rPr>
      </w:pPr>
    </w:p>
    <w:p w14:paraId="14E66DCD" w14:textId="77777777" w:rsidR="00FF1F16" w:rsidRDefault="00FF1F16">
      <w:pPr>
        <w:spacing w:before="240" w:after="240"/>
        <w:jc w:val="both"/>
        <w:rPr>
          <w:rFonts w:ascii="Arial Narrow" w:eastAsia="Arial Narrow" w:hAnsi="Arial Narrow" w:cs="Arial Narrow"/>
          <w:sz w:val="24"/>
          <w:szCs w:val="24"/>
        </w:rPr>
      </w:pPr>
    </w:p>
    <w:p w14:paraId="670F1043" w14:textId="77777777" w:rsidR="00FF1F16" w:rsidRDefault="00FF1F16">
      <w:pPr>
        <w:spacing w:line="240" w:lineRule="auto"/>
        <w:ind w:left="720"/>
        <w:jc w:val="both"/>
        <w:rPr>
          <w:rFonts w:ascii="Arial Narrow" w:eastAsia="Arial Narrow" w:hAnsi="Arial Narrow" w:cs="Arial Narrow"/>
          <w:b/>
          <w:bCs/>
        </w:rPr>
      </w:pPr>
    </w:p>
    <w:tbl>
      <w:tblPr>
        <w:tblStyle w:val="a"/>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45"/>
        <w:gridCol w:w="2955"/>
      </w:tblGrid>
      <w:tr w:rsidR="00FF1F16" w14:paraId="7FA27AF6" w14:textId="77777777">
        <w:trPr>
          <w:trHeight w:val="330"/>
        </w:trPr>
        <w:tc>
          <w:tcPr>
            <w:tcW w:w="6045" w:type="dxa"/>
            <w:tcBorders>
              <w:top w:val="single" w:sz="7" w:space="0" w:color="BFBFBF"/>
              <w:left w:val="single" w:sz="7" w:space="0" w:color="BFBFBF"/>
              <w:bottom w:val="single" w:sz="7" w:space="0" w:color="BFBFBF"/>
              <w:right w:val="single" w:sz="7" w:space="0" w:color="BFBFBF"/>
            </w:tcBorders>
            <w:shd w:val="clear" w:color="auto" w:fill="E8E8E8"/>
            <w:tcMar>
              <w:top w:w="0" w:type="dxa"/>
              <w:left w:w="100" w:type="dxa"/>
              <w:bottom w:w="0" w:type="dxa"/>
              <w:right w:w="100" w:type="dxa"/>
            </w:tcMar>
          </w:tcPr>
          <w:p w14:paraId="47EFBC6C"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ACTIVIDAD</w:t>
            </w:r>
          </w:p>
        </w:tc>
        <w:tc>
          <w:tcPr>
            <w:tcW w:w="2955" w:type="dxa"/>
            <w:tcBorders>
              <w:top w:val="single" w:sz="7" w:space="0" w:color="BFBFBF"/>
              <w:left w:val="nil"/>
              <w:bottom w:val="single" w:sz="7" w:space="0" w:color="BFBFBF"/>
              <w:right w:val="single" w:sz="7" w:space="0" w:color="BFBFBF"/>
            </w:tcBorders>
            <w:shd w:val="clear" w:color="auto" w:fill="E8E8E8"/>
            <w:tcMar>
              <w:top w:w="0" w:type="dxa"/>
              <w:left w:w="100" w:type="dxa"/>
              <w:bottom w:w="0" w:type="dxa"/>
              <w:right w:w="100" w:type="dxa"/>
            </w:tcMar>
          </w:tcPr>
          <w:p w14:paraId="531C4C28"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FECHA Y HORA</w:t>
            </w:r>
          </w:p>
        </w:tc>
      </w:tr>
      <w:tr w:rsidR="00FF1F16" w14:paraId="3FD20B0A" w14:textId="77777777">
        <w:trPr>
          <w:trHeight w:val="435"/>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175426CE" w14:textId="77777777" w:rsidR="00FF1F16" w:rsidRDefault="004A6500">
            <w:pPr>
              <w:jc w:val="both"/>
              <w:rPr>
                <w:rFonts w:ascii="Arial Narrow" w:eastAsia="Arial Narrow" w:hAnsi="Arial Narrow" w:cs="Arial Narrow"/>
              </w:rPr>
            </w:pPr>
            <w:r>
              <w:rPr>
                <w:rFonts w:ascii="Arial Narrow" w:eastAsia="Arial Narrow" w:hAnsi="Arial Narrow" w:cs="Arial Narrow"/>
              </w:rPr>
              <w:t>Publicación del aviso de convocatoria pública</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126174FF"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26/05/2026 </w:t>
            </w:r>
          </w:p>
        </w:tc>
      </w:tr>
      <w:tr w:rsidR="00FF1F16" w14:paraId="26FC51DB"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77FE6582" w14:textId="77777777" w:rsidR="00FF1F16" w:rsidRDefault="004A6500">
            <w:pPr>
              <w:jc w:val="both"/>
              <w:rPr>
                <w:rFonts w:ascii="Arial Narrow" w:eastAsia="Arial Narrow" w:hAnsi="Arial Narrow" w:cs="Arial Narrow"/>
              </w:rPr>
            </w:pPr>
            <w:r>
              <w:rPr>
                <w:rFonts w:ascii="Arial Narrow" w:eastAsia="Arial Narrow" w:hAnsi="Arial Narrow" w:cs="Arial Narrow"/>
              </w:rPr>
              <w:t>Publicación de estudios previos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75891520"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26/05/2026 </w:t>
            </w:r>
          </w:p>
        </w:tc>
      </w:tr>
      <w:tr w:rsidR="00FF1F16" w14:paraId="3BD29CA3" w14:textId="77777777">
        <w:trPr>
          <w:trHeight w:val="585"/>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38DD0152" w14:textId="77777777" w:rsidR="00FF1F16" w:rsidRDefault="004A6500">
            <w:pPr>
              <w:jc w:val="both"/>
              <w:rPr>
                <w:rFonts w:ascii="Arial Narrow" w:eastAsia="Arial Narrow" w:hAnsi="Arial Narrow" w:cs="Arial Narrow"/>
              </w:rPr>
            </w:pPr>
            <w:r>
              <w:rPr>
                <w:rFonts w:ascii="Arial Narrow" w:eastAsia="Arial Narrow" w:hAnsi="Arial Narrow" w:cs="Arial Narrow"/>
              </w:rPr>
              <w:t>Fecha de publicación del proyecto de pliego de condiciones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11887A90"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26/05/2026 </w:t>
            </w:r>
          </w:p>
        </w:tc>
      </w:tr>
      <w:tr w:rsidR="00FF1F16" w14:paraId="4041F440"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19CFE725" w14:textId="77777777" w:rsidR="00FF1F16" w:rsidRDefault="004A6500">
            <w:pPr>
              <w:jc w:val="both"/>
              <w:rPr>
                <w:rFonts w:ascii="Arial Narrow" w:eastAsia="Arial Narrow" w:hAnsi="Arial Narrow" w:cs="Arial Narrow"/>
              </w:rPr>
            </w:pPr>
            <w:r>
              <w:rPr>
                <w:rFonts w:ascii="Arial Narrow" w:eastAsia="Arial Narrow" w:hAnsi="Arial Narrow" w:cs="Arial Narrow"/>
              </w:rPr>
              <w:t>Plazo para presentar observaciones al proyecto de Pliego de Condiciones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57E32652"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02/06/2026 </w:t>
            </w:r>
          </w:p>
        </w:tc>
      </w:tr>
      <w:tr w:rsidR="00FF1F16" w14:paraId="435EB2D7" w14:textId="77777777">
        <w:trPr>
          <w:trHeight w:val="48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3D441AA2"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Plazo para manifestación de interés de limitar la convocatoria a </w:t>
            </w:r>
            <w:proofErr w:type="spellStart"/>
            <w:r>
              <w:rPr>
                <w:rFonts w:ascii="Arial Narrow" w:eastAsia="Arial Narrow" w:hAnsi="Arial Narrow" w:cs="Arial Narrow"/>
              </w:rPr>
              <w:t>Mypes</w:t>
            </w:r>
            <w:proofErr w:type="spellEnd"/>
            <w:r>
              <w:rPr>
                <w:rFonts w:ascii="Arial Narrow" w:eastAsia="Arial Narrow" w:hAnsi="Arial Narrow" w:cs="Arial Narrow"/>
              </w:rPr>
              <w:t xml:space="preserve"> y/o MiPymes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78BE9B74" w14:textId="77777777" w:rsidR="00FF1F16" w:rsidRDefault="004A6500">
            <w:pPr>
              <w:jc w:val="both"/>
              <w:rPr>
                <w:rFonts w:ascii="Arial Narrow" w:eastAsia="Arial Narrow" w:hAnsi="Arial Narrow" w:cs="Arial Narrow"/>
              </w:rPr>
            </w:pPr>
            <w:r>
              <w:rPr>
                <w:rFonts w:ascii="Arial Narrow" w:eastAsia="Arial Narrow" w:hAnsi="Arial Narrow" w:cs="Arial Narrow"/>
              </w:rPr>
              <w:t>No aplica</w:t>
            </w:r>
          </w:p>
        </w:tc>
      </w:tr>
      <w:tr w:rsidR="00FF1F16" w14:paraId="1D582044"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22FFCC22" w14:textId="77777777" w:rsidR="00FF1F16" w:rsidRDefault="004A6500">
            <w:pPr>
              <w:jc w:val="both"/>
              <w:rPr>
                <w:rFonts w:ascii="Arial Narrow" w:eastAsia="Arial Narrow" w:hAnsi="Arial Narrow" w:cs="Arial Narrow"/>
              </w:rPr>
            </w:pPr>
            <w:r>
              <w:rPr>
                <w:rFonts w:ascii="Arial Narrow" w:eastAsia="Arial Narrow" w:hAnsi="Arial Narrow" w:cs="Arial Narrow"/>
              </w:rPr>
              <w:t>Respuesta a las observaciones al Proyecto de Pliego de Condiciones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4A46E8A7"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03/06/2026 </w:t>
            </w:r>
          </w:p>
        </w:tc>
      </w:tr>
      <w:tr w:rsidR="00FF1F16" w14:paraId="58E71FD5"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58DAA320" w14:textId="77777777" w:rsidR="00FF1F16" w:rsidRDefault="004A6500">
            <w:pPr>
              <w:jc w:val="both"/>
              <w:rPr>
                <w:rFonts w:ascii="Arial Narrow" w:eastAsia="Arial Narrow" w:hAnsi="Arial Narrow" w:cs="Arial Narrow"/>
              </w:rPr>
            </w:pPr>
            <w:r>
              <w:rPr>
                <w:rFonts w:ascii="Arial Narrow" w:eastAsia="Arial Narrow" w:hAnsi="Arial Narrow" w:cs="Arial Narrow"/>
              </w:rPr>
              <w:t>Fecha prevista de publicación de los pliegos de condiciones definitivos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56B0D4F8"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03/06/2026 </w:t>
            </w:r>
          </w:p>
        </w:tc>
      </w:tr>
      <w:tr w:rsidR="00FF1F16" w14:paraId="6AF80BF3" w14:textId="77777777">
        <w:trPr>
          <w:trHeight w:val="48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35BD243E" w14:textId="77777777" w:rsidR="00FF1F16" w:rsidRDefault="004A6500">
            <w:pPr>
              <w:jc w:val="both"/>
              <w:rPr>
                <w:rFonts w:ascii="Arial Narrow" w:eastAsia="Arial Narrow" w:hAnsi="Arial Narrow" w:cs="Arial Narrow"/>
              </w:rPr>
            </w:pPr>
            <w:r>
              <w:rPr>
                <w:rFonts w:ascii="Arial Narrow" w:eastAsia="Arial Narrow" w:hAnsi="Arial Narrow" w:cs="Arial Narrow"/>
              </w:rPr>
              <w:t>Expedición y publicación del acto administrativo de apertura del proceso de selección</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34242DA6"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03/06/2026 </w:t>
            </w:r>
          </w:p>
        </w:tc>
      </w:tr>
      <w:tr w:rsidR="00FF1F16" w14:paraId="02E12F9A"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48EF5087" w14:textId="77777777" w:rsidR="00FF1F16" w:rsidRDefault="004A6500">
            <w:pPr>
              <w:jc w:val="both"/>
              <w:rPr>
                <w:rFonts w:ascii="Arial Narrow" w:eastAsia="Arial Narrow" w:hAnsi="Arial Narrow" w:cs="Arial Narrow"/>
              </w:rPr>
            </w:pPr>
            <w:r>
              <w:rPr>
                <w:rFonts w:ascii="Arial Narrow" w:eastAsia="Arial Narrow" w:hAnsi="Arial Narrow" w:cs="Arial Narrow"/>
              </w:rPr>
              <w:t>Presentación de observaciones a los Pliegos de Condiciones definitivos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1FF13093"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09/06/2026 </w:t>
            </w:r>
          </w:p>
        </w:tc>
      </w:tr>
      <w:tr w:rsidR="00FF1F16" w14:paraId="014DADC7"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13EBE344" w14:textId="77777777" w:rsidR="00FF1F16" w:rsidRDefault="004A6500">
            <w:pPr>
              <w:jc w:val="both"/>
              <w:rPr>
                <w:rFonts w:ascii="Arial Narrow" w:eastAsia="Arial Narrow" w:hAnsi="Arial Narrow" w:cs="Arial Narrow"/>
              </w:rPr>
            </w:pPr>
            <w:r>
              <w:rPr>
                <w:rFonts w:ascii="Arial Narrow" w:eastAsia="Arial Narrow" w:hAnsi="Arial Narrow" w:cs="Arial Narrow"/>
              </w:rPr>
              <w:t>Respuesta a las observaciones al Pliego de Condiciones definitivo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5B7A63A6" w14:textId="77777777" w:rsidR="00FF1F16" w:rsidRDefault="004A6500">
            <w:pPr>
              <w:jc w:val="both"/>
              <w:rPr>
                <w:rFonts w:ascii="Arial Narrow" w:eastAsia="Arial Narrow" w:hAnsi="Arial Narrow" w:cs="Arial Narrow"/>
              </w:rPr>
            </w:pPr>
            <w:r>
              <w:rPr>
                <w:rFonts w:ascii="Arial Narrow" w:eastAsia="Arial Narrow" w:hAnsi="Arial Narrow" w:cs="Arial Narrow"/>
              </w:rPr>
              <w:t>09/06/2026.</w:t>
            </w:r>
          </w:p>
        </w:tc>
      </w:tr>
      <w:tr w:rsidR="00FF1F16" w14:paraId="382B8BB3"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1C104FEF" w14:textId="77777777" w:rsidR="00FF1F16" w:rsidRDefault="004A6500">
            <w:pPr>
              <w:jc w:val="both"/>
              <w:rPr>
                <w:rFonts w:ascii="Arial Narrow" w:eastAsia="Arial Narrow" w:hAnsi="Arial Narrow" w:cs="Arial Narrow"/>
              </w:rPr>
            </w:pPr>
            <w:r>
              <w:rPr>
                <w:rFonts w:ascii="Arial Narrow" w:eastAsia="Arial Narrow" w:hAnsi="Arial Narrow" w:cs="Arial Narrow"/>
              </w:rPr>
              <w:t>Plazo máximo para expedir adendas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38D756D9"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09/06/2026 </w:t>
            </w:r>
          </w:p>
        </w:tc>
      </w:tr>
      <w:tr w:rsidR="00FF1F16" w14:paraId="3F4FEA0E"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799B317C" w14:textId="77777777" w:rsidR="00FF1F16" w:rsidRDefault="004A6500">
            <w:pPr>
              <w:jc w:val="both"/>
              <w:rPr>
                <w:rFonts w:ascii="Arial Narrow" w:eastAsia="Arial Narrow" w:hAnsi="Arial Narrow" w:cs="Arial Narrow"/>
              </w:rPr>
            </w:pPr>
            <w:r>
              <w:rPr>
                <w:rFonts w:ascii="Arial Narrow" w:eastAsia="Arial Narrow" w:hAnsi="Arial Narrow" w:cs="Arial Narrow"/>
              </w:rPr>
              <w:t>Presentación de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51C64B9F"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10/06/2026 </w:t>
            </w:r>
          </w:p>
        </w:tc>
      </w:tr>
      <w:tr w:rsidR="00FF1F16" w14:paraId="4E6083CA"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77D2E603" w14:textId="77777777" w:rsidR="00FF1F16" w:rsidRDefault="004A6500">
            <w:pPr>
              <w:jc w:val="both"/>
              <w:rPr>
                <w:rFonts w:ascii="Arial Narrow" w:eastAsia="Arial Narrow" w:hAnsi="Arial Narrow" w:cs="Arial Narrow"/>
              </w:rPr>
            </w:pPr>
            <w:r>
              <w:rPr>
                <w:rFonts w:ascii="Arial Narrow" w:eastAsia="Arial Narrow" w:hAnsi="Arial Narrow" w:cs="Arial Narrow"/>
              </w:rPr>
              <w:t>Apertura de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70CEF381"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10/06/2026 </w:t>
            </w:r>
          </w:p>
        </w:tc>
      </w:tr>
      <w:tr w:rsidR="00FF1F16" w14:paraId="07B17821"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67ACB3D2" w14:textId="77777777" w:rsidR="00FF1F16" w:rsidRDefault="004A6500">
            <w:pPr>
              <w:jc w:val="both"/>
              <w:rPr>
                <w:rFonts w:ascii="Arial Narrow" w:eastAsia="Arial Narrow" w:hAnsi="Arial Narrow" w:cs="Arial Narrow"/>
              </w:rPr>
            </w:pPr>
            <w:r>
              <w:rPr>
                <w:rFonts w:ascii="Arial Narrow" w:eastAsia="Arial Narrow" w:hAnsi="Arial Narrow" w:cs="Arial Narrow"/>
              </w:rPr>
              <w:t>Informe de presentación de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677B7E84"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10/06/2026 </w:t>
            </w:r>
          </w:p>
        </w:tc>
      </w:tr>
      <w:tr w:rsidR="00FF1F16" w14:paraId="750826C4"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3E5A4C3A" w14:textId="77777777" w:rsidR="00FF1F16" w:rsidRDefault="004A6500">
            <w:pPr>
              <w:jc w:val="both"/>
              <w:rPr>
                <w:rFonts w:ascii="Arial Narrow" w:eastAsia="Arial Narrow" w:hAnsi="Arial Narrow" w:cs="Arial Narrow"/>
              </w:rPr>
            </w:pPr>
            <w:r>
              <w:rPr>
                <w:rFonts w:ascii="Arial Narrow" w:eastAsia="Arial Narrow" w:hAnsi="Arial Narrow" w:cs="Arial Narrow"/>
              </w:rPr>
              <w:t>Publicación del informe de evaluación de las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292B166D"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16/06/2026 </w:t>
            </w:r>
          </w:p>
        </w:tc>
      </w:tr>
      <w:tr w:rsidR="00FF1F16" w14:paraId="10A09C9E"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54C41EDE" w14:textId="77777777" w:rsidR="00FF1F16" w:rsidRDefault="004A6500">
            <w:pPr>
              <w:jc w:val="both"/>
              <w:rPr>
                <w:rFonts w:ascii="Arial Narrow" w:eastAsia="Arial Narrow" w:hAnsi="Arial Narrow" w:cs="Arial Narrow"/>
              </w:rPr>
            </w:pPr>
            <w:r>
              <w:rPr>
                <w:rFonts w:ascii="Arial Narrow" w:eastAsia="Arial Narrow" w:hAnsi="Arial Narrow" w:cs="Arial Narrow"/>
              </w:rPr>
              <w:t>Presentación de observaciones al informe de evaluación de las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02E1199F"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19/06/2026 </w:t>
            </w:r>
          </w:p>
        </w:tc>
      </w:tr>
      <w:tr w:rsidR="00FF1F16" w14:paraId="5996FA2D"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7CA5012F" w14:textId="77777777" w:rsidR="00FF1F16" w:rsidRDefault="004A6500">
            <w:pPr>
              <w:jc w:val="both"/>
              <w:rPr>
                <w:rFonts w:ascii="Arial Narrow" w:eastAsia="Arial Narrow" w:hAnsi="Arial Narrow" w:cs="Arial Narrow"/>
              </w:rPr>
            </w:pPr>
            <w:r>
              <w:rPr>
                <w:rFonts w:ascii="Arial Narrow" w:eastAsia="Arial Narrow" w:hAnsi="Arial Narrow" w:cs="Arial Narrow"/>
              </w:rPr>
              <w:t>Expedición del acto de adjudicación o declaratoria desierta</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612B6A39" w14:textId="77777777" w:rsidR="00FF1F16" w:rsidRDefault="004A6500">
            <w:pPr>
              <w:jc w:val="both"/>
              <w:rPr>
                <w:rFonts w:ascii="Arial Narrow" w:eastAsia="Arial Narrow" w:hAnsi="Arial Narrow" w:cs="Arial Narrow"/>
              </w:rPr>
            </w:pPr>
            <w:r>
              <w:rPr>
                <w:rFonts w:ascii="Arial Narrow" w:eastAsia="Arial Narrow" w:hAnsi="Arial Narrow" w:cs="Arial Narrow"/>
              </w:rPr>
              <w:t>22/06/2026</w:t>
            </w:r>
          </w:p>
        </w:tc>
      </w:tr>
      <w:tr w:rsidR="00FF1F16" w14:paraId="6FBB3175"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100878A7" w14:textId="77777777" w:rsidR="00FF1F16" w:rsidRDefault="004A6500">
            <w:pPr>
              <w:jc w:val="both"/>
              <w:rPr>
                <w:rFonts w:ascii="Arial Narrow" w:eastAsia="Arial Narrow" w:hAnsi="Arial Narrow" w:cs="Arial Narrow"/>
              </w:rPr>
            </w:pPr>
            <w:r>
              <w:rPr>
                <w:rFonts w:ascii="Arial Narrow" w:eastAsia="Arial Narrow" w:hAnsi="Arial Narrow" w:cs="Arial Narrow"/>
              </w:rPr>
              <w:t>Firma del contrato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30094C27" w14:textId="77777777" w:rsidR="00FF1F16" w:rsidRDefault="004A6500">
            <w:pPr>
              <w:jc w:val="both"/>
              <w:rPr>
                <w:rFonts w:ascii="Arial Narrow" w:eastAsia="Arial Narrow" w:hAnsi="Arial Narrow" w:cs="Arial Narrow"/>
              </w:rPr>
            </w:pPr>
            <w:r>
              <w:rPr>
                <w:rFonts w:ascii="Arial Narrow" w:eastAsia="Arial Narrow" w:hAnsi="Arial Narrow" w:cs="Arial Narrow"/>
              </w:rPr>
              <w:t xml:space="preserve">25/06/2026 </w:t>
            </w:r>
          </w:p>
        </w:tc>
      </w:tr>
      <w:tr w:rsidR="00FF1F16" w14:paraId="54DCD454"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7B6545AB" w14:textId="77777777" w:rsidR="00FF1F16" w:rsidRDefault="004A6500">
            <w:pPr>
              <w:jc w:val="both"/>
              <w:rPr>
                <w:rFonts w:ascii="Arial Narrow" w:eastAsia="Arial Narrow" w:hAnsi="Arial Narrow" w:cs="Arial Narrow"/>
              </w:rPr>
            </w:pPr>
            <w:r>
              <w:rPr>
                <w:rFonts w:ascii="Arial Narrow" w:eastAsia="Arial Narrow" w:hAnsi="Arial Narrow" w:cs="Arial Narrow"/>
              </w:rPr>
              <w:t>Entrega de las garantías o pólizas de ejecución del contrato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772EAE2C" w14:textId="77777777" w:rsidR="00FF1F16" w:rsidRDefault="004A6500">
            <w:pPr>
              <w:jc w:val="both"/>
              <w:rPr>
                <w:rFonts w:ascii="Arial Narrow" w:eastAsia="Arial Narrow" w:hAnsi="Arial Narrow" w:cs="Arial Narrow"/>
              </w:rPr>
            </w:pPr>
            <w:r>
              <w:rPr>
                <w:rFonts w:ascii="Arial Narrow" w:eastAsia="Arial Narrow" w:hAnsi="Arial Narrow" w:cs="Arial Narrow"/>
              </w:rPr>
              <w:t>30/06/2026</w:t>
            </w:r>
          </w:p>
        </w:tc>
      </w:tr>
      <w:tr w:rsidR="00FF1F16" w14:paraId="2DDADD0E" w14:textId="77777777">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14:paraId="36CA8E95" w14:textId="77777777" w:rsidR="00FF1F16" w:rsidRDefault="004A6500">
            <w:pPr>
              <w:jc w:val="both"/>
              <w:rPr>
                <w:rFonts w:ascii="Arial Narrow" w:eastAsia="Arial Narrow" w:hAnsi="Arial Narrow" w:cs="Arial Narrow"/>
              </w:rPr>
            </w:pPr>
            <w:r>
              <w:rPr>
                <w:rFonts w:ascii="Arial Narrow" w:eastAsia="Arial Narrow" w:hAnsi="Arial Narrow" w:cs="Arial Narrow"/>
              </w:rPr>
              <w:t>Aprobación de las garantías o pólizas e inicio de ejecución del contrato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14:paraId="13CCAB78" w14:textId="77777777" w:rsidR="00FF1F16" w:rsidRDefault="004A6500">
            <w:pPr>
              <w:jc w:val="both"/>
              <w:rPr>
                <w:rFonts w:ascii="Arial Narrow" w:eastAsia="Arial Narrow" w:hAnsi="Arial Narrow" w:cs="Arial Narrow"/>
              </w:rPr>
            </w:pPr>
            <w:r>
              <w:rPr>
                <w:rFonts w:ascii="Arial Narrow" w:eastAsia="Arial Narrow" w:hAnsi="Arial Narrow" w:cs="Arial Narrow"/>
              </w:rPr>
              <w:t>03/07/2026</w:t>
            </w:r>
          </w:p>
        </w:tc>
      </w:tr>
    </w:tbl>
    <w:p w14:paraId="405F4059" w14:textId="77777777" w:rsidR="00FF1F16" w:rsidRDefault="004A6500">
      <w:pPr>
        <w:spacing w:before="240" w:after="240"/>
        <w:jc w:val="both"/>
        <w:rPr>
          <w:rFonts w:ascii="Arial Narrow" w:eastAsia="Arial Narrow" w:hAnsi="Arial Narrow" w:cs="Arial Narrow"/>
          <w:b/>
          <w:bCs/>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p>
    <w:p w14:paraId="21345D24"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Nueva fecha para cumplimiento: </w:t>
      </w:r>
      <w:r>
        <w:rPr>
          <w:rFonts w:ascii="Arial Narrow" w:eastAsia="Arial Narrow" w:hAnsi="Arial Narrow" w:cs="Arial Narrow"/>
          <w:sz w:val="24"/>
          <w:szCs w:val="24"/>
        </w:rPr>
        <w:t xml:space="preserve"> julio de 2026.</w:t>
      </w:r>
    </w:p>
    <w:p w14:paraId="70E5FA81" w14:textId="77777777" w:rsidR="00FF1F16" w:rsidRDefault="00FF1F16">
      <w:pPr>
        <w:pBdr>
          <w:top w:val="nil"/>
          <w:left w:val="nil"/>
          <w:bottom w:val="nil"/>
          <w:right w:val="nil"/>
          <w:between w:val="nil"/>
        </w:pBdr>
        <w:spacing w:line="240" w:lineRule="auto"/>
        <w:ind w:left="720"/>
        <w:jc w:val="both"/>
        <w:rPr>
          <w:rFonts w:ascii="Arial Narrow" w:eastAsia="Arial Narrow" w:hAnsi="Arial Narrow" w:cs="Arial Narrow"/>
          <w:b/>
          <w:bCs/>
        </w:rPr>
      </w:pPr>
    </w:p>
    <w:p w14:paraId="41C80B31" w14:textId="77777777" w:rsidR="00FF1F16" w:rsidRDefault="004A6500">
      <w:pPr>
        <w:numPr>
          <w:ilvl w:val="0"/>
          <w:numId w:val="1"/>
        </w:numPr>
        <w:pBdr>
          <w:top w:val="nil"/>
          <w:left w:val="nil"/>
          <w:bottom w:val="nil"/>
          <w:right w:val="nil"/>
          <w:between w:val="nil"/>
        </w:pBdr>
        <w:spacing w:line="240" w:lineRule="auto"/>
        <w:ind w:left="0"/>
        <w:jc w:val="both"/>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 xml:space="preserve">CONSTITUCIÓN DEL FONDO DE ESTABILIZACIÓN TARIFARIA "FET" PARA GARANTIZAR EL CIERRE FINANCIERO DE LA OPERACIÓN Y MITIGAR LA INCERTIDUMBRE Y RESISTENCIA EN LOS TRANSPORTADORES </w:t>
      </w:r>
    </w:p>
    <w:p w14:paraId="32623908" w14:textId="77777777" w:rsidR="00FF1F16" w:rsidRDefault="00FF1F16">
      <w:pPr>
        <w:rPr>
          <w:rFonts w:ascii="Arial Narrow" w:eastAsia="Arial Narrow" w:hAnsi="Arial Narrow" w:cs="Arial Narrow"/>
          <w:b/>
          <w:bCs/>
          <w:sz w:val="24"/>
          <w:szCs w:val="24"/>
        </w:rPr>
      </w:pPr>
    </w:p>
    <w:p w14:paraId="7D32C6C3"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 xml:space="preserve">Contratar la actualización del </w:t>
      </w:r>
      <w:r>
        <w:rPr>
          <w:rFonts w:ascii="Arial Narrow" w:eastAsia="Arial Narrow" w:hAnsi="Arial Narrow" w:cs="Arial Narrow"/>
          <w:sz w:val="24"/>
          <w:szCs w:val="24"/>
        </w:rPr>
        <w:t>E</w:t>
      </w:r>
      <w:r>
        <w:rPr>
          <w:rFonts w:ascii="Arial Narrow" w:eastAsia="Arial Narrow" w:hAnsi="Arial Narrow" w:cs="Arial Narrow"/>
          <w:color w:val="000000"/>
          <w:sz w:val="24"/>
          <w:szCs w:val="24"/>
        </w:rPr>
        <w:t xml:space="preserve">statuto </w:t>
      </w:r>
      <w:r>
        <w:rPr>
          <w:rFonts w:ascii="Arial Narrow" w:eastAsia="Arial Narrow" w:hAnsi="Arial Narrow" w:cs="Arial Narrow"/>
          <w:sz w:val="24"/>
          <w:szCs w:val="24"/>
        </w:rPr>
        <w:t>T</w:t>
      </w:r>
      <w:r>
        <w:rPr>
          <w:rFonts w:ascii="Arial Narrow" w:eastAsia="Arial Narrow" w:hAnsi="Arial Narrow" w:cs="Arial Narrow"/>
          <w:color w:val="000000"/>
          <w:sz w:val="24"/>
          <w:szCs w:val="24"/>
        </w:rPr>
        <w:t xml:space="preserve">ributario </w:t>
      </w:r>
      <w:r>
        <w:rPr>
          <w:rFonts w:ascii="Arial Narrow" w:eastAsia="Arial Narrow" w:hAnsi="Arial Narrow" w:cs="Arial Narrow"/>
          <w:sz w:val="24"/>
          <w:szCs w:val="24"/>
        </w:rPr>
        <w:t>Municipal</w:t>
      </w:r>
    </w:p>
    <w:p w14:paraId="20002565"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 xml:space="preserve">Responsable: </w:t>
      </w:r>
      <w:r>
        <w:rPr>
          <w:rFonts w:ascii="Arial Narrow" w:eastAsia="Arial Narrow" w:hAnsi="Arial Narrow" w:cs="Arial Narrow"/>
          <w:sz w:val="24"/>
          <w:szCs w:val="24"/>
        </w:rPr>
        <w:t>Secretaría de Hacienda</w:t>
      </w:r>
    </w:p>
    <w:p w14:paraId="40A76597"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febrero de 2026</w:t>
      </w:r>
    </w:p>
    <w:p w14:paraId="70F119C9" w14:textId="77777777"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14:paraId="6C771C3E" w14:textId="77777777" w:rsidR="00FF1F16" w:rsidRDefault="00FF1F16">
      <w:pPr>
        <w:rPr>
          <w:rFonts w:ascii="Arial Narrow" w:eastAsia="Arial Narrow" w:hAnsi="Arial Narrow" w:cs="Arial Narrow"/>
          <w:b/>
          <w:bCs/>
          <w:sz w:val="24"/>
          <w:szCs w:val="24"/>
          <w:u w:val="single"/>
        </w:rPr>
      </w:pPr>
    </w:p>
    <w:p w14:paraId="308369D7"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Se realizó contratación de servicios </w:t>
      </w:r>
      <w:proofErr w:type="gramStart"/>
      <w:r>
        <w:rPr>
          <w:rFonts w:ascii="Arial Narrow" w:eastAsia="Arial Narrow" w:hAnsi="Arial Narrow" w:cs="Arial Narrow"/>
          <w:sz w:val="24"/>
          <w:szCs w:val="24"/>
        </w:rPr>
        <w:t>especializados  mediante</w:t>
      </w:r>
      <w:proofErr w:type="gramEnd"/>
      <w:r>
        <w:rPr>
          <w:rFonts w:ascii="Arial Narrow" w:eastAsia="Arial Narrow" w:hAnsi="Arial Narrow" w:cs="Arial Narrow"/>
          <w:sz w:val="24"/>
          <w:szCs w:val="24"/>
        </w:rPr>
        <w:t xml:space="preserve"> contrato número 20261800022627 del 30 de enero de 2026, el cual tiene como objeto “PRESTAR SERVICIOS PROFESIONALES ESPECIALIZADOS EN EL ASESORAMIENTO Y ACOMPAÑAMIENTO EN LA SECRETARÍA DE HACIENDA MUNICIPAL PARA LA ACTUALIZACIÓN DEL ESTATUTO TRIBUTARIO DEL MUNICIPIO EN EL MARCO DEL PROYECTO DENOMINADO OPTIMIZACIÓN DE LA CAPACIDAD ADMINISTRATIVA Y OPERATIVA DE LA SECRETARÍA DE HACIENDA DE POPAYÁN”</w:t>
      </w:r>
    </w:p>
    <w:p w14:paraId="3C802590" w14:textId="77777777" w:rsidR="00FF1F16" w:rsidRDefault="00FF1F16">
      <w:pPr>
        <w:rPr>
          <w:rFonts w:ascii="Arial Narrow" w:eastAsia="Arial Narrow" w:hAnsi="Arial Narrow" w:cs="Arial Narrow"/>
          <w:sz w:val="24"/>
          <w:szCs w:val="24"/>
        </w:rPr>
      </w:pPr>
    </w:p>
    <w:p w14:paraId="1B2DD198"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47CE643F"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Análisis integral del Acuerdo 024 de </w:t>
      </w:r>
      <w:proofErr w:type="gramStart"/>
      <w:r>
        <w:rPr>
          <w:rFonts w:ascii="Arial Narrow" w:eastAsia="Arial Narrow" w:hAnsi="Arial Narrow" w:cs="Arial Narrow"/>
          <w:sz w:val="24"/>
          <w:szCs w:val="24"/>
        </w:rPr>
        <w:t>2021,  mediante</w:t>
      </w:r>
      <w:proofErr w:type="gramEnd"/>
      <w:r>
        <w:rPr>
          <w:rFonts w:ascii="Arial Narrow" w:eastAsia="Arial Narrow" w:hAnsi="Arial Narrow" w:cs="Arial Narrow"/>
          <w:sz w:val="24"/>
          <w:szCs w:val="24"/>
        </w:rPr>
        <w:t xml:space="preserve"> diferentes mesas técnicas entre las diferentes dependencias de la administración municipal a cargo del contratista vinculado para tal fin, con el propósito de presentar el proyecto de Acuerdo ante el Concejo Municipal en el mes de julio de la presente anualidad para su respectiva aprobación. </w:t>
      </w:r>
    </w:p>
    <w:p w14:paraId="53E8AF49"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r>
        <w:rPr>
          <w:rFonts w:ascii="Arial Narrow" w:eastAsia="Arial Narrow" w:hAnsi="Arial Narrow" w:cs="Arial Narrow"/>
          <w:sz w:val="24"/>
          <w:szCs w:val="24"/>
        </w:rPr>
        <w:t xml:space="preserve">Presentación del proyecto de acuerdo mediante el cual se actualiza el Estatuto Tributario del Municipio de Popayán en el mes de </w:t>
      </w:r>
      <w:proofErr w:type="gramStart"/>
      <w:r>
        <w:rPr>
          <w:rFonts w:ascii="Arial Narrow" w:eastAsia="Arial Narrow" w:hAnsi="Arial Narrow" w:cs="Arial Narrow"/>
          <w:sz w:val="24"/>
          <w:szCs w:val="24"/>
        </w:rPr>
        <w:t>julio  de</w:t>
      </w:r>
      <w:proofErr w:type="gramEnd"/>
      <w:r>
        <w:rPr>
          <w:rFonts w:ascii="Arial Narrow" w:eastAsia="Arial Narrow" w:hAnsi="Arial Narrow" w:cs="Arial Narrow"/>
          <w:sz w:val="24"/>
          <w:szCs w:val="24"/>
        </w:rPr>
        <w:t xml:space="preserve"> 2026, ante el Concejo Municipal.</w:t>
      </w:r>
    </w:p>
    <w:p w14:paraId="20995AAA"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tbl>
      <w:tblPr>
        <w:tblStyle w:val="a0"/>
        <w:tblW w:w="927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540"/>
        <w:gridCol w:w="2640"/>
        <w:gridCol w:w="3090"/>
      </w:tblGrid>
      <w:tr w:rsidR="00FF1F16" w14:paraId="7CFB4185" w14:textId="77777777">
        <w:trPr>
          <w:jc w:val="center"/>
        </w:trPr>
        <w:tc>
          <w:tcPr>
            <w:tcW w:w="3540" w:type="dxa"/>
            <w:shd w:val="clear" w:color="auto" w:fill="D0CECE"/>
            <w:vAlign w:val="center"/>
          </w:tcPr>
          <w:p w14:paraId="3637E8C0"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2640" w:type="dxa"/>
            <w:shd w:val="clear" w:color="auto" w:fill="D0CECE"/>
            <w:vAlign w:val="center"/>
          </w:tcPr>
          <w:p w14:paraId="19E8E20C"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Responsable</w:t>
            </w:r>
          </w:p>
        </w:tc>
        <w:tc>
          <w:tcPr>
            <w:tcW w:w="3090" w:type="dxa"/>
            <w:shd w:val="clear" w:color="auto" w:fill="D0CECE"/>
            <w:vAlign w:val="center"/>
          </w:tcPr>
          <w:p w14:paraId="1634A71A"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14:paraId="5DBC9E7E" w14:textId="77777777">
        <w:trPr>
          <w:jc w:val="center"/>
        </w:trPr>
        <w:tc>
          <w:tcPr>
            <w:tcW w:w="3540" w:type="dxa"/>
            <w:vAlign w:val="center"/>
          </w:tcPr>
          <w:p w14:paraId="4E0D8A8B"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rPr>
              <w:t xml:space="preserve">Suscripción de contrato </w:t>
            </w:r>
          </w:p>
        </w:tc>
        <w:tc>
          <w:tcPr>
            <w:tcW w:w="2640" w:type="dxa"/>
            <w:vAlign w:val="center"/>
          </w:tcPr>
          <w:p w14:paraId="7888E0D1"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Secretaria de Hacienda</w:t>
            </w:r>
          </w:p>
        </w:tc>
        <w:tc>
          <w:tcPr>
            <w:tcW w:w="3090" w:type="dxa"/>
          </w:tcPr>
          <w:p w14:paraId="3625A877"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proofErr w:type="gramStart"/>
            <w:r>
              <w:rPr>
                <w:rFonts w:ascii="Arial Narrow" w:eastAsia="Arial Narrow" w:hAnsi="Arial Narrow" w:cs="Arial Narrow"/>
              </w:rPr>
              <w:t xml:space="preserve">30 </w:t>
            </w:r>
            <w:r>
              <w:rPr>
                <w:rFonts w:ascii="Arial Narrow" w:eastAsia="Arial Narrow" w:hAnsi="Arial Narrow" w:cs="Arial Narrow"/>
                <w:color w:val="000000"/>
              </w:rPr>
              <w:t xml:space="preserve"> de</w:t>
            </w:r>
            <w:proofErr w:type="gramEnd"/>
            <w:r>
              <w:rPr>
                <w:rFonts w:ascii="Arial Narrow" w:eastAsia="Arial Narrow" w:hAnsi="Arial Narrow" w:cs="Arial Narrow"/>
                <w:color w:val="000000"/>
              </w:rPr>
              <w:t xml:space="preserve"> </w:t>
            </w:r>
            <w:r>
              <w:rPr>
                <w:rFonts w:ascii="Arial Narrow" w:eastAsia="Arial Narrow" w:hAnsi="Arial Narrow" w:cs="Arial Narrow"/>
              </w:rPr>
              <w:t xml:space="preserve">enero </w:t>
            </w:r>
            <w:r>
              <w:rPr>
                <w:rFonts w:ascii="Arial Narrow" w:eastAsia="Arial Narrow" w:hAnsi="Arial Narrow" w:cs="Arial Narrow"/>
                <w:color w:val="000000"/>
              </w:rPr>
              <w:t xml:space="preserve"> de 2026</w:t>
            </w:r>
          </w:p>
        </w:tc>
      </w:tr>
      <w:tr w:rsidR="00FF1F16" w14:paraId="323A115D" w14:textId="77777777">
        <w:trPr>
          <w:jc w:val="center"/>
        </w:trPr>
        <w:tc>
          <w:tcPr>
            <w:tcW w:w="3540" w:type="dxa"/>
            <w:vAlign w:val="center"/>
          </w:tcPr>
          <w:p w14:paraId="281929A2" w14:textId="77777777"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t>Recopilación y análisis de vigencia de la normatividad tributaria local</w:t>
            </w:r>
          </w:p>
        </w:tc>
        <w:tc>
          <w:tcPr>
            <w:tcW w:w="2640" w:type="dxa"/>
            <w:vAlign w:val="center"/>
          </w:tcPr>
          <w:p w14:paraId="685EE7DE" w14:textId="77777777" w:rsidR="00FF1F16" w:rsidRDefault="004A6500">
            <w:pPr>
              <w:spacing w:after="200"/>
              <w:jc w:val="center"/>
              <w:rPr>
                <w:rFonts w:ascii="Arial Narrow" w:eastAsia="Arial Narrow" w:hAnsi="Arial Narrow" w:cs="Arial Narrow"/>
                <w:color w:val="000000"/>
              </w:rPr>
            </w:pPr>
            <w:r>
              <w:rPr>
                <w:rFonts w:ascii="Arial Narrow" w:eastAsia="Arial Narrow" w:hAnsi="Arial Narrow" w:cs="Arial Narrow"/>
              </w:rPr>
              <w:t>Secretaria de Hacienda</w:t>
            </w:r>
          </w:p>
        </w:tc>
        <w:tc>
          <w:tcPr>
            <w:tcW w:w="3090" w:type="dxa"/>
          </w:tcPr>
          <w:p w14:paraId="1BF21C72" w14:textId="77777777" w:rsidR="00FF1F16" w:rsidRDefault="004A6500">
            <w:pPr>
              <w:pBdr>
                <w:top w:val="nil"/>
                <w:left w:val="nil"/>
                <w:bottom w:val="nil"/>
                <w:right w:val="nil"/>
                <w:between w:val="nil"/>
              </w:pBdr>
              <w:spacing w:after="200"/>
              <w:jc w:val="center"/>
              <w:rPr>
                <w:rFonts w:ascii="Arial Narrow" w:eastAsia="Arial Narrow" w:hAnsi="Arial Narrow" w:cs="Arial Narrow"/>
              </w:rPr>
            </w:pPr>
            <w:r>
              <w:rPr>
                <w:rFonts w:ascii="Arial Narrow" w:eastAsia="Arial Narrow" w:hAnsi="Arial Narrow" w:cs="Arial Narrow"/>
              </w:rPr>
              <w:t>Febrero de 2026</w:t>
            </w:r>
          </w:p>
        </w:tc>
      </w:tr>
      <w:tr w:rsidR="00FF1F16" w14:paraId="29E4D66C" w14:textId="77777777">
        <w:trPr>
          <w:jc w:val="center"/>
        </w:trPr>
        <w:tc>
          <w:tcPr>
            <w:tcW w:w="3540" w:type="dxa"/>
            <w:vAlign w:val="center"/>
          </w:tcPr>
          <w:p w14:paraId="78B8EF5A" w14:textId="77777777"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t xml:space="preserve">Mesas técnicas con secretarías de Tránsito y Planeación, con el fin de </w:t>
            </w:r>
            <w:r>
              <w:rPr>
                <w:rFonts w:ascii="Arial Narrow" w:eastAsia="Arial Narrow" w:hAnsi="Arial Narrow" w:cs="Arial Narrow"/>
              </w:rPr>
              <w:lastRenderedPageBreak/>
              <w:t>identificar nuevas rentas relacionadas con el aprovechamiento del espacio público y uso del suelo.</w:t>
            </w:r>
          </w:p>
        </w:tc>
        <w:tc>
          <w:tcPr>
            <w:tcW w:w="2640" w:type="dxa"/>
            <w:vAlign w:val="center"/>
          </w:tcPr>
          <w:p w14:paraId="69C35657" w14:textId="77777777" w:rsidR="00FF1F16" w:rsidRDefault="004A6500">
            <w:pPr>
              <w:spacing w:after="200"/>
              <w:jc w:val="center"/>
              <w:rPr>
                <w:rFonts w:ascii="Arial Narrow" w:eastAsia="Arial Narrow" w:hAnsi="Arial Narrow" w:cs="Arial Narrow"/>
              </w:rPr>
            </w:pPr>
            <w:r>
              <w:rPr>
                <w:rFonts w:ascii="Arial Narrow" w:eastAsia="Arial Narrow" w:hAnsi="Arial Narrow" w:cs="Arial Narrow"/>
              </w:rPr>
              <w:lastRenderedPageBreak/>
              <w:t>Secretaria de Hacienda</w:t>
            </w:r>
          </w:p>
        </w:tc>
        <w:tc>
          <w:tcPr>
            <w:tcW w:w="3090" w:type="dxa"/>
          </w:tcPr>
          <w:p w14:paraId="05D4312F" w14:textId="77777777" w:rsidR="00FF1F16" w:rsidRDefault="00FF1F16">
            <w:pPr>
              <w:pBdr>
                <w:top w:val="nil"/>
                <w:left w:val="nil"/>
                <w:bottom w:val="nil"/>
                <w:right w:val="nil"/>
                <w:between w:val="nil"/>
              </w:pBdr>
              <w:spacing w:after="200"/>
              <w:jc w:val="center"/>
              <w:rPr>
                <w:rFonts w:ascii="Arial Narrow" w:eastAsia="Arial Narrow" w:hAnsi="Arial Narrow" w:cs="Arial Narrow"/>
              </w:rPr>
            </w:pPr>
          </w:p>
          <w:p w14:paraId="386F88EE" w14:textId="77777777" w:rsidR="00FF1F16" w:rsidRDefault="004A6500">
            <w:pPr>
              <w:pBdr>
                <w:top w:val="nil"/>
                <w:left w:val="nil"/>
                <w:bottom w:val="nil"/>
                <w:right w:val="nil"/>
                <w:between w:val="nil"/>
              </w:pBdr>
              <w:spacing w:after="200"/>
              <w:jc w:val="center"/>
              <w:rPr>
                <w:rFonts w:ascii="Arial Narrow" w:eastAsia="Arial Narrow" w:hAnsi="Arial Narrow" w:cs="Arial Narrow"/>
              </w:rPr>
            </w:pPr>
            <w:r>
              <w:rPr>
                <w:rFonts w:ascii="Arial Narrow" w:eastAsia="Arial Narrow" w:hAnsi="Arial Narrow" w:cs="Arial Narrow"/>
              </w:rPr>
              <w:lastRenderedPageBreak/>
              <w:t xml:space="preserve">Marzo - </w:t>
            </w:r>
            <w:proofErr w:type="gramStart"/>
            <w:r>
              <w:rPr>
                <w:rFonts w:ascii="Arial Narrow" w:eastAsia="Arial Narrow" w:hAnsi="Arial Narrow" w:cs="Arial Narrow"/>
              </w:rPr>
              <w:t>Abril</w:t>
            </w:r>
            <w:proofErr w:type="gramEnd"/>
            <w:r>
              <w:rPr>
                <w:rFonts w:ascii="Arial Narrow" w:eastAsia="Arial Narrow" w:hAnsi="Arial Narrow" w:cs="Arial Narrow"/>
              </w:rPr>
              <w:t xml:space="preserve"> de 2026</w:t>
            </w:r>
          </w:p>
        </w:tc>
      </w:tr>
      <w:tr w:rsidR="00FF1F16" w14:paraId="7F827EA9" w14:textId="77777777">
        <w:trPr>
          <w:jc w:val="center"/>
        </w:trPr>
        <w:tc>
          <w:tcPr>
            <w:tcW w:w="3540" w:type="dxa"/>
            <w:vAlign w:val="center"/>
          </w:tcPr>
          <w:p w14:paraId="4B02BD68" w14:textId="77777777"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lastRenderedPageBreak/>
              <w:t>Propuesta de depuración por contradicciones, inconveniencias o actualización normativa.</w:t>
            </w:r>
          </w:p>
          <w:p w14:paraId="43292642" w14:textId="77777777"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t>Envío de borrador de proyecto de acuerdo para retroalimentación y ajustes.</w:t>
            </w:r>
          </w:p>
        </w:tc>
        <w:tc>
          <w:tcPr>
            <w:tcW w:w="2640" w:type="dxa"/>
            <w:vAlign w:val="center"/>
          </w:tcPr>
          <w:p w14:paraId="1CAD85E6" w14:textId="77777777" w:rsidR="00FF1F16" w:rsidRDefault="004A6500">
            <w:pPr>
              <w:spacing w:after="200"/>
              <w:jc w:val="center"/>
              <w:rPr>
                <w:rFonts w:ascii="Arial Narrow" w:eastAsia="Arial Narrow" w:hAnsi="Arial Narrow" w:cs="Arial Narrow"/>
              </w:rPr>
            </w:pPr>
            <w:r>
              <w:rPr>
                <w:rFonts w:ascii="Arial Narrow" w:eastAsia="Arial Narrow" w:hAnsi="Arial Narrow" w:cs="Arial Narrow"/>
              </w:rPr>
              <w:t>Secretaria de Hacienda</w:t>
            </w:r>
          </w:p>
        </w:tc>
        <w:tc>
          <w:tcPr>
            <w:tcW w:w="3090" w:type="dxa"/>
          </w:tcPr>
          <w:p w14:paraId="47F68CD0" w14:textId="77777777" w:rsidR="00FF1F16" w:rsidRDefault="00FF1F16">
            <w:pPr>
              <w:pBdr>
                <w:top w:val="nil"/>
                <w:left w:val="nil"/>
                <w:bottom w:val="nil"/>
                <w:right w:val="nil"/>
                <w:between w:val="nil"/>
              </w:pBdr>
              <w:spacing w:after="200"/>
              <w:jc w:val="center"/>
              <w:rPr>
                <w:rFonts w:ascii="Arial Narrow" w:eastAsia="Arial Narrow" w:hAnsi="Arial Narrow" w:cs="Arial Narrow"/>
              </w:rPr>
            </w:pPr>
          </w:p>
          <w:p w14:paraId="5884F39C" w14:textId="77777777" w:rsidR="00FF1F16" w:rsidRDefault="004A6500">
            <w:pPr>
              <w:pBdr>
                <w:top w:val="nil"/>
                <w:left w:val="nil"/>
                <w:bottom w:val="nil"/>
                <w:right w:val="nil"/>
                <w:between w:val="nil"/>
              </w:pBdr>
              <w:spacing w:after="200"/>
              <w:jc w:val="center"/>
              <w:rPr>
                <w:rFonts w:ascii="Arial Narrow" w:eastAsia="Arial Narrow" w:hAnsi="Arial Narrow" w:cs="Arial Narrow"/>
              </w:rPr>
            </w:pPr>
            <w:r>
              <w:rPr>
                <w:rFonts w:ascii="Arial Narrow" w:eastAsia="Arial Narrow" w:hAnsi="Arial Narrow" w:cs="Arial Narrow"/>
              </w:rPr>
              <w:t xml:space="preserve">Mayo - </w:t>
            </w:r>
            <w:proofErr w:type="gramStart"/>
            <w:r>
              <w:rPr>
                <w:rFonts w:ascii="Arial Narrow" w:eastAsia="Arial Narrow" w:hAnsi="Arial Narrow" w:cs="Arial Narrow"/>
              </w:rPr>
              <w:t>Junio</w:t>
            </w:r>
            <w:proofErr w:type="gramEnd"/>
            <w:r>
              <w:rPr>
                <w:rFonts w:ascii="Arial Narrow" w:eastAsia="Arial Narrow" w:hAnsi="Arial Narrow" w:cs="Arial Narrow"/>
              </w:rPr>
              <w:t xml:space="preserve"> de 2026</w:t>
            </w:r>
          </w:p>
        </w:tc>
      </w:tr>
      <w:tr w:rsidR="00FF1F16" w14:paraId="79FBC79F" w14:textId="77777777">
        <w:trPr>
          <w:jc w:val="center"/>
        </w:trPr>
        <w:tc>
          <w:tcPr>
            <w:tcW w:w="3540" w:type="dxa"/>
            <w:vAlign w:val="center"/>
          </w:tcPr>
          <w:p w14:paraId="4C42152D" w14:textId="77777777" w:rsidR="00FF1F16" w:rsidRDefault="004A6500">
            <w:pPr>
              <w:pBdr>
                <w:top w:val="nil"/>
                <w:left w:val="nil"/>
                <w:bottom w:val="nil"/>
                <w:right w:val="nil"/>
                <w:between w:val="nil"/>
              </w:pBdr>
              <w:spacing w:after="200"/>
              <w:jc w:val="both"/>
              <w:rPr>
                <w:rFonts w:ascii="Arial Narrow" w:eastAsia="Arial Narrow" w:hAnsi="Arial Narrow" w:cs="Arial Narrow"/>
                <w:color w:val="000000"/>
              </w:rPr>
            </w:pPr>
            <w:r>
              <w:rPr>
                <w:rFonts w:ascii="Arial Narrow" w:eastAsia="Arial Narrow" w:hAnsi="Arial Narrow" w:cs="Arial Narrow"/>
              </w:rPr>
              <w:t>P</w:t>
            </w:r>
            <w:r>
              <w:rPr>
                <w:rFonts w:ascii="Arial Narrow" w:eastAsia="Arial Narrow" w:hAnsi="Arial Narrow" w:cs="Arial Narrow"/>
                <w:color w:val="000000"/>
              </w:rPr>
              <w:t>resentaci</w:t>
            </w:r>
            <w:r>
              <w:rPr>
                <w:rFonts w:ascii="Arial Narrow" w:eastAsia="Arial Narrow" w:hAnsi="Arial Narrow" w:cs="Arial Narrow"/>
              </w:rPr>
              <w:t>ón del proyecto de acuerdo mediante el cual se actualiza el Estatuto Tributario del Municipio de Popayán</w:t>
            </w:r>
          </w:p>
        </w:tc>
        <w:tc>
          <w:tcPr>
            <w:tcW w:w="2640" w:type="dxa"/>
            <w:vAlign w:val="center"/>
          </w:tcPr>
          <w:p w14:paraId="1E333BE3"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Secretaria de Hacienda</w:t>
            </w:r>
          </w:p>
        </w:tc>
        <w:tc>
          <w:tcPr>
            <w:tcW w:w="3090" w:type="dxa"/>
          </w:tcPr>
          <w:p w14:paraId="2E8D3374"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proofErr w:type="gramStart"/>
            <w:r>
              <w:rPr>
                <w:rFonts w:ascii="Arial Narrow" w:eastAsia="Arial Narrow" w:hAnsi="Arial Narrow" w:cs="Arial Narrow"/>
              </w:rPr>
              <w:t xml:space="preserve">31 </w:t>
            </w:r>
            <w:r>
              <w:rPr>
                <w:rFonts w:ascii="Arial Narrow" w:eastAsia="Arial Narrow" w:hAnsi="Arial Narrow" w:cs="Arial Narrow"/>
                <w:color w:val="000000"/>
              </w:rPr>
              <w:t xml:space="preserve"> de</w:t>
            </w:r>
            <w:proofErr w:type="gramEnd"/>
            <w:r>
              <w:rPr>
                <w:rFonts w:ascii="Arial Narrow" w:eastAsia="Arial Narrow" w:hAnsi="Arial Narrow" w:cs="Arial Narrow"/>
                <w:color w:val="000000"/>
              </w:rPr>
              <w:t xml:space="preserve"> </w:t>
            </w:r>
            <w:r>
              <w:rPr>
                <w:rFonts w:ascii="Arial Narrow" w:eastAsia="Arial Narrow" w:hAnsi="Arial Narrow" w:cs="Arial Narrow"/>
              </w:rPr>
              <w:t xml:space="preserve">julio </w:t>
            </w:r>
            <w:r>
              <w:rPr>
                <w:rFonts w:ascii="Arial Narrow" w:eastAsia="Arial Narrow" w:hAnsi="Arial Narrow" w:cs="Arial Narrow"/>
                <w:color w:val="000000"/>
              </w:rPr>
              <w:t xml:space="preserve"> de 2026</w:t>
            </w:r>
          </w:p>
        </w:tc>
      </w:tr>
    </w:tbl>
    <w:p w14:paraId="4B2620D6" w14:textId="77777777" w:rsidR="00FF1F16" w:rsidRDefault="00FF1F16">
      <w:pPr>
        <w:rPr>
          <w:rFonts w:ascii="Arial Narrow" w:eastAsia="Arial Narrow" w:hAnsi="Arial Narrow" w:cs="Arial Narrow"/>
          <w:sz w:val="24"/>
          <w:szCs w:val="24"/>
        </w:rPr>
      </w:pPr>
    </w:p>
    <w:p w14:paraId="10C6982C"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Nueva fecha para cumplimiento: </w:t>
      </w:r>
      <w:r>
        <w:rPr>
          <w:rFonts w:ascii="Arial Narrow" w:eastAsia="Arial Narrow" w:hAnsi="Arial Narrow" w:cs="Arial Narrow"/>
          <w:sz w:val="24"/>
          <w:szCs w:val="24"/>
        </w:rPr>
        <w:t xml:space="preserve"> julio de 2026.</w:t>
      </w:r>
    </w:p>
    <w:p w14:paraId="2DC88F13" w14:textId="77777777" w:rsidR="00FF1F16" w:rsidRDefault="00FF1F16">
      <w:pPr>
        <w:spacing w:line="240" w:lineRule="auto"/>
        <w:ind w:left="720"/>
        <w:jc w:val="both"/>
        <w:rPr>
          <w:rFonts w:ascii="Arial Narrow" w:eastAsia="Arial Narrow" w:hAnsi="Arial Narrow" w:cs="Arial Narrow"/>
          <w:b/>
          <w:bCs/>
          <w:sz w:val="24"/>
          <w:szCs w:val="24"/>
        </w:rPr>
      </w:pPr>
    </w:p>
    <w:p w14:paraId="0225A37F" w14:textId="77777777" w:rsidR="00FF1F16" w:rsidRDefault="004A6500">
      <w:pPr>
        <w:jc w:val="both"/>
        <w:rPr>
          <w:rFonts w:ascii="Arial Narrow" w:eastAsia="Arial Narrow" w:hAnsi="Arial Narrow" w:cs="Arial Narrow"/>
          <w:b/>
          <w:bCs/>
          <w:sz w:val="24"/>
          <w:szCs w:val="24"/>
        </w:rPr>
      </w:pPr>
      <w:r>
        <w:rPr>
          <w:rFonts w:ascii="Arial Narrow" w:eastAsia="Arial Narrow" w:hAnsi="Arial Narrow" w:cs="Arial Narrow"/>
          <w:b/>
          <w:bCs/>
          <w:color w:val="000000"/>
          <w:sz w:val="24"/>
          <w:szCs w:val="24"/>
        </w:rPr>
        <w:t>Compromiso 2. Presentar el FET (fondeado en un 60% con oportunidad de seguir siendo alimentado progresivamente) ante el Concejo con el respaldo y apoyo técnico, financiero e institucional de Mintransporte.</w:t>
      </w:r>
    </w:p>
    <w:p w14:paraId="78FDFF92"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 xml:space="preserve">Responsable: </w:t>
      </w:r>
      <w:r>
        <w:rPr>
          <w:rFonts w:ascii="Arial Narrow" w:eastAsia="Arial Narrow" w:hAnsi="Arial Narrow" w:cs="Arial Narrow"/>
          <w:sz w:val="24"/>
          <w:szCs w:val="24"/>
        </w:rPr>
        <w:t>Secretaría de Hacienda y Ente Gestor</w:t>
      </w:r>
    </w:p>
    <w:p w14:paraId="43428C56"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noviembre de 2026</w:t>
      </w:r>
    </w:p>
    <w:p w14:paraId="6B0E993B" w14:textId="77777777" w:rsidR="00FF1F16" w:rsidRDefault="00FF1F16">
      <w:pPr>
        <w:spacing w:line="240" w:lineRule="auto"/>
        <w:jc w:val="both"/>
        <w:rPr>
          <w:rFonts w:ascii="Arial Narrow" w:eastAsia="Arial Narrow" w:hAnsi="Arial Narrow" w:cs="Arial Narrow"/>
        </w:rPr>
      </w:pPr>
    </w:p>
    <w:p w14:paraId="2A194C0B" w14:textId="77777777" w:rsidR="00FF1F16" w:rsidRDefault="004A6500">
      <w:pPr>
        <w:spacing w:line="240" w:lineRule="auto"/>
        <w:ind w:left="-141"/>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p>
    <w:p w14:paraId="27871325" w14:textId="77777777" w:rsidR="00FF1F16" w:rsidRDefault="00FF1F16">
      <w:pPr>
        <w:pBdr>
          <w:top w:val="nil"/>
          <w:left w:val="nil"/>
          <w:bottom w:val="nil"/>
          <w:right w:val="nil"/>
          <w:between w:val="nil"/>
        </w:pBdr>
        <w:spacing w:line="240" w:lineRule="auto"/>
        <w:jc w:val="both"/>
        <w:rPr>
          <w:rFonts w:ascii="Arial Narrow" w:eastAsia="Arial Narrow" w:hAnsi="Arial Narrow" w:cs="Arial Narrow"/>
          <w:color w:val="000000"/>
          <w:sz w:val="24"/>
          <w:szCs w:val="24"/>
        </w:rPr>
      </w:pPr>
    </w:p>
    <w:p w14:paraId="03F6416B"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b/>
          <w:bCs/>
          <w:sz w:val="24"/>
          <w:szCs w:val="24"/>
        </w:rPr>
        <w:t>Articulación interinstitucional:</w:t>
      </w:r>
      <w:r>
        <w:rPr>
          <w:rFonts w:ascii="Arial Narrow" w:eastAsia="Arial Narrow" w:hAnsi="Arial Narrow" w:cs="Arial Narrow"/>
          <w:sz w:val="24"/>
          <w:szCs w:val="24"/>
        </w:rPr>
        <w:t xml:space="preserve"> El trabajo realizado por el municipio para la sostenibilidad del sistema se ha logrado con el fortalecimiento institucional que permitió que durante las vigencias 2024-2025 y lo corrido del 2026 se adelanten las gestiones internas para la consecución de una fuente cierta; es decir, fuente multas de tránsito </w:t>
      </w:r>
      <w:r>
        <w:rPr>
          <w:rFonts w:ascii="Arial Narrow" w:eastAsia="Arial Narrow" w:hAnsi="Arial Narrow" w:cs="Arial Narrow"/>
          <w:b/>
          <w:bCs/>
          <w:sz w:val="24"/>
          <w:szCs w:val="24"/>
        </w:rPr>
        <w:t>(25% para el 2026 y 30% a partir del año 2027</w:t>
      </w:r>
      <w:r>
        <w:rPr>
          <w:rFonts w:ascii="Arial Narrow" w:eastAsia="Arial Narrow" w:hAnsi="Arial Narrow" w:cs="Arial Narrow"/>
          <w:sz w:val="24"/>
          <w:szCs w:val="24"/>
        </w:rPr>
        <w:t>), la realización de mesas de trabajo articuladas con la Secretaría de Hacienda y de Tránsito del municipio para poder realizar el trámite con la radicación y presentación del  Proyecto de Acuerdo “</w:t>
      </w:r>
      <w:r>
        <w:rPr>
          <w:rFonts w:ascii="Arial Narrow" w:eastAsia="Arial Narrow" w:hAnsi="Arial Narrow" w:cs="Arial Narrow"/>
          <w:i/>
          <w:iCs/>
          <w:sz w:val="24"/>
          <w:szCs w:val="24"/>
        </w:rPr>
        <w:t>POR MEDIO DEL CUAL SE CREA EL FONDO DE ESTABILIZACIÓN TARIFARIA Y SUBVENCIÓN AL SISTEMA Y A LA SOSTENIBILIDAD DEL SISTEMA ESTRATÉGICO DE TRANSPORTE PÚBLICO DE POPAYÁN Y SE FACULTA AL ALCALDE MUNICIPAL DE POPAYÁN PARA REGLAMENTARLO</w:t>
      </w:r>
      <w:r>
        <w:rPr>
          <w:rFonts w:ascii="Arial Narrow" w:eastAsia="Arial Narrow" w:hAnsi="Arial Narrow" w:cs="Arial Narrow"/>
          <w:sz w:val="24"/>
          <w:szCs w:val="24"/>
        </w:rPr>
        <w:t>” con sus soportes,  a las comisiones del Concejo Municipal de Popayán.</w:t>
      </w:r>
    </w:p>
    <w:p w14:paraId="19386A95" w14:textId="77777777" w:rsidR="00FF1F16" w:rsidRDefault="00FF1F16">
      <w:pPr>
        <w:pBdr>
          <w:top w:val="nil"/>
          <w:left w:val="nil"/>
          <w:bottom w:val="nil"/>
          <w:right w:val="nil"/>
          <w:between w:val="nil"/>
        </w:pBdr>
        <w:spacing w:line="240" w:lineRule="auto"/>
        <w:jc w:val="both"/>
        <w:rPr>
          <w:rFonts w:ascii="Arial Narrow" w:eastAsia="Arial Narrow" w:hAnsi="Arial Narrow" w:cs="Arial Narrow"/>
          <w:sz w:val="24"/>
          <w:szCs w:val="24"/>
        </w:rPr>
      </w:pPr>
    </w:p>
    <w:p w14:paraId="245D9F43"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Para avanzar en la estructuración y consolidación del Fondo de Estabilización Tarifaria – FET, el Ente Gestor y las dependencias competentes de la Administración Municipal adelantaron un proceso de </w:t>
      </w:r>
      <w:r>
        <w:rPr>
          <w:rFonts w:ascii="Arial Narrow" w:eastAsia="Arial Narrow" w:hAnsi="Arial Narrow" w:cs="Arial Narrow"/>
          <w:sz w:val="24"/>
          <w:szCs w:val="24"/>
        </w:rPr>
        <w:lastRenderedPageBreak/>
        <w:t>articulación técnica e institucional orientado a identificar fuentes de financiación, fortalecer el soporte técnico del instrumento y consolidar el proyecto de acuerdo requerido para su implementación.</w:t>
      </w:r>
    </w:p>
    <w:p w14:paraId="36B38B9B"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20FF90FA"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En desarrollo de este proceso se realizaron actividades de construcción, actualización y ajuste de los documentos soporte del FET, así como mesas de trabajo permanentes entre la Secretaría de Hacienda, Secretaría de Tránsito, Oficina Asesora Jurídica y el Ente Gestor, mediante las cuales se revisó información técnica, financiera y normativa necesaria para la estructuración del mecanismo de sostenibilidad del sistema.</w:t>
      </w:r>
    </w:p>
    <w:p w14:paraId="07698E3B"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778224E1"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De manera complementaria, se atendieron integralmente observaciones y requerimientos formulados por las dependencias municipales involucradas, fortaleciendo la coordinación interinstitucional y la validación de los soportes requeridos para el trámite correspondiente.</w:t>
      </w:r>
    </w:p>
    <w:p w14:paraId="56CDB576"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2CB75519"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Como parte del fortalecimiento técnico del proceso, se definió la necesidad de verificar datos reales de demanda y kilómetros recorridos mediante mediciones directas sobre la operación actual, con el propósito de realizar seguimiento al comportamiento de la demanda y estado actual de la prestación del servicio. Igualmente, se adelantó una visita técnica al SETP de Valledupar por parte del Gerente del Ente Gestor y las Secretarias de Hacienda y Tránsito, permitiendo identificar experiencias aplicables y buenas prácticas incorporadas posteriormente al documento técnico del FET.</w:t>
      </w:r>
    </w:p>
    <w:p w14:paraId="104862C5"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4401EC5E"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proceso adelantado ha estado acompañado de gestiones institucionales encaminadas a consolidar una fuente cierta de financiación para el sistema, contemplando alternativas asociadas a recursos provenientes de multas de tránsito y la estructuración del proyecto de acuerdo </w:t>
      </w:r>
      <w:r>
        <w:rPr>
          <w:rFonts w:ascii="Arial Narrow" w:eastAsia="Arial Narrow" w:hAnsi="Arial Narrow" w:cs="Arial Narrow"/>
          <w:i/>
          <w:iCs/>
          <w:sz w:val="24"/>
          <w:szCs w:val="24"/>
        </w:rPr>
        <w:t>“Por medio del cual se crea el Fondo de Estabilización Tarifaria y Subvención al Sistema Estratégico de Transporte Público de Popayán y se faculta al Alcalde Municipal para reglamentarlo</w:t>
      </w:r>
      <w:r>
        <w:rPr>
          <w:rFonts w:ascii="Arial Narrow" w:eastAsia="Arial Narrow" w:hAnsi="Arial Narrow" w:cs="Arial Narrow"/>
          <w:sz w:val="24"/>
          <w:szCs w:val="24"/>
        </w:rPr>
        <w:t>”, articulado con las dependencias competentes y proyectado para su trámite ante el Concejo Municipal.</w:t>
      </w:r>
    </w:p>
    <w:p w14:paraId="18D5B2F5"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593F2E8E"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67E9D759"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Como resultado de las acciones desarrolladas, se cuenta con una versión técnica y jurídica significativamente fortalecida del documento FET y del proyecto de acuerdo asociado, incorporando ajustes derivados del trabajo articulado entre el Ente Gestor y las dependencias municipales, así como las observaciones y aprendizajes obtenidos en los ejercicios de validación técnica y referenciación institucional.</w:t>
      </w:r>
    </w:p>
    <w:p w14:paraId="10F76267"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7D86C090"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Este avance permitió consolidar un documento base para revisión institucional y posterior radicación ante las instancias competentes del municipio y el Honorable Concejo Municipal, fortaleciendo las condiciones para la definición del esquema de sostenibilidad financiera del SETP y la estructuración progresiva de una fuente de respaldo para el posible cierre financiero de la operación.</w:t>
      </w:r>
    </w:p>
    <w:p w14:paraId="35964887"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61693264"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proceso adelantado evidencia que la constitución del FET involucra actuaciones concurrentes de carácter técnico, financiero, jurídico y político que requieren articulación interinstitucional y decisiones de </w:t>
      </w:r>
      <w:r>
        <w:rPr>
          <w:rFonts w:ascii="Arial Narrow" w:eastAsia="Arial Narrow" w:hAnsi="Arial Narrow" w:cs="Arial Narrow"/>
          <w:sz w:val="24"/>
          <w:szCs w:val="24"/>
        </w:rPr>
        <w:lastRenderedPageBreak/>
        <w:t>competencia municipal, razón por la cual el avance del compromiso depende no exclusivamente del Ente Gestor, sino del desarrollo coordinado del trámite institucional correspondiente.</w:t>
      </w:r>
    </w:p>
    <w:p w14:paraId="1BBF0DE2" w14:textId="77777777" w:rsidR="00FF1F16" w:rsidRDefault="00FF1F16">
      <w:pPr>
        <w:pBdr>
          <w:top w:val="nil"/>
          <w:left w:val="nil"/>
          <w:bottom w:val="nil"/>
          <w:right w:val="nil"/>
          <w:between w:val="nil"/>
        </w:pBdr>
        <w:spacing w:line="240" w:lineRule="auto"/>
        <w:jc w:val="both"/>
        <w:rPr>
          <w:rFonts w:ascii="Arial Narrow" w:eastAsia="Arial Narrow" w:hAnsi="Arial Narrow" w:cs="Arial Narrow"/>
        </w:rPr>
      </w:pPr>
    </w:p>
    <w:p w14:paraId="0B844BA1" w14:textId="77777777" w:rsidR="00FF1F16" w:rsidRDefault="00FF1F16">
      <w:pPr>
        <w:pBdr>
          <w:top w:val="nil"/>
          <w:left w:val="nil"/>
          <w:bottom w:val="nil"/>
          <w:right w:val="nil"/>
          <w:between w:val="nil"/>
        </w:pBdr>
        <w:spacing w:line="240" w:lineRule="auto"/>
        <w:jc w:val="both"/>
        <w:rPr>
          <w:rFonts w:ascii="Arial Narrow" w:eastAsia="Arial Narrow" w:hAnsi="Arial Narrow" w:cs="Arial Narrow"/>
        </w:rPr>
      </w:pPr>
    </w:p>
    <w:p w14:paraId="6D561FA0" w14:textId="77777777" w:rsidR="00FF1F16" w:rsidRDefault="004A6500">
      <w:pPr>
        <w:spacing w:before="240" w:after="240"/>
        <w:jc w:val="both"/>
        <w:rPr>
          <w:rFonts w:ascii="Arial Narrow" w:eastAsia="Arial Narrow" w:hAnsi="Arial Narrow" w:cs="Arial Narrow"/>
          <w:b/>
          <w:bCs/>
        </w:rPr>
      </w:pPr>
      <w:r>
        <w:rPr>
          <w:rFonts w:ascii="Arial Narrow" w:eastAsia="Arial Narrow" w:hAnsi="Arial Narrow" w:cs="Arial Narrow"/>
          <w:b/>
          <w:bCs/>
        </w:rPr>
        <w:t>Plan de trabajo para cada compromiso, con cronograma y actores implicados.</w:t>
      </w:r>
    </w:p>
    <w:tbl>
      <w:tblPr>
        <w:tblStyle w:val="a1"/>
        <w:tblW w:w="9225"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840"/>
        <w:gridCol w:w="2310"/>
        <w:gridCol w:w="3075"/>
      </w:tblGrid>
      <w:tr w:rsidR="00FF1F16" w14:paraId="560FC29A" w14:textId="77777777">
        <w:trPr>
          <w:trHeight w:val="437"/>
          <w:jc w:val="center"/>
        </w:trPr>
        <w:tc>
          <w:tcPr>
            <w:tcW w:w="3840" w:type="dxa"/>
            <w:shd w:val="clear" w:color="auto" w:fill="D0CECE"/>
            <w:vAlign w:val="center"/>
          </w:tcPr>
          <w:p w14:paraId="1C08298C"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2310" w:type="dxa"/>
            <w:shd w:val="clear" w:color="auto" w:fill="D0CECE"/>
            <w:vAlign w:val="center"/>
          </w:tcPr>
          <w:p w14:paraId="002EB369"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Responsable</w:t>
            </w:r>
          </w:p>
        </w:tc>
        <w:tc>
          <w:tcPr>
            <w:tcW w:w="3075" w:type="dxa"/>
            <w:shd w:val="clear" w:color="auto" w:fill="D0CECE"/>
            <w:vAlign w:val="center"/>
          </w:tcPr>
          <w:p w14:paraId="1AA56491"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14:paraId="566F3B1B" w14:textId="77777777">
        <w:trPr>
          <w:trHeight w:val="675"/>
          <w:jc w:val="center"/>
        </w:trPr>
        <w:tc>
          <w:tcPr>
            <w:tcW w:w="3840" w:type="dxa"/>
            <w:vAlign w:val="center"/>
          </w:tcPr>
          <w:p w14:paraId="35A9716F"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Actualización documento proyecto de acuerdo FET</w:t>
            </w:r>
          </w:p>
        </w:tc>
        <w:tc>
          <w:tcPr>
            <w:tcW w:w="2310" w:type="dxa"/>
            <w:vAlign w:val="center"/>
          </w:tcPr>
          <w:p w14:paraId="4071730F"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Ente Gestor</w:t>
            </w:r>
          </w:p>
        </w:tc>
        <w:tc>
          <w:tcPr>
            <w:tcW w:w="3075" w:type="dxa"/>
            <w:vAlign w:val="center"/>
          </w:tcPr>
          <w:p w14:paraId="5B57E814"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27 de mayo de 2026</w:t>
            </w:r>
          </w:p>
        </w:tc>
      </w:tr>
      <w:tr w:rsidR="00FF1F16" w14:paraId="1C441FDC" w14:textId="77777777">
        <w:trPr>
          <w:trHeight w:val="630"/>
          <w:jc w:val="center"/>
        </w:trPr>
        <w:tc>
          <w:tcPr>
            <w:tcW w:w="3840" w:type="dxa"/>
            <w:vAlign w:val="center"/>
          </w:tcPr>
          <w:p w14:paraId="043B4D9C"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Envío documento FET a SH, STTM y Oficina jurídica de la Alcaldía</w:t>
            </w:r>
          </w:p>
        </w:tc>
        <w:tc>
          <w:tcPr>
            <w:tcW w:w="2310" w:type="dxa"/>
            <w:vAlign w:val="center"/>
          </w:tcPr>
          <w:p w14:paraId="721D0221"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Ente Gestor</w:t>
            </w:r>
          </w:p>
        </w:tc>
        <w:tc>
          <w:tcPr>
            <w:tcW w:w="3075" w:type="dxa"/>
            <w:vAlign w:val="center"/>
          </w:tcPr>
          <w:p w14:paraId="5DE7AF7C"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28 mayo de 2026</w:t>
            </w:r>
          </w:p>
        </w:tc>
      </w:tr>
      <w:tr w:rsidR="00FF1F16" w14:paraId="61CF917D" w14:textId="77777777">
        <w:trPr>
          <w:trHeight w:val="959"/>
          <w:jc w:val="center"/>
        </w:trPr>
        <w:tc>
          <w:tcPr>
            <w:tcW w:w="3840" w:type="dxa"/>
            <w:vAlign w:val="center"/>
          </w:tcPr>
          <w:p w14:paraId="7C86FF67"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Revisión de la versión final por parte de las SH, STTM y Oficina jurídica de la Alcaldía</w:t>
            </w:r>
          </w:p>
        </w:tc>
        <w:tc>
          <w:tcPr>
            <w:tcW w:w="2310" w:type="dxa"/>
            <w:vAlign w:val="center"/>
          </w:tcPr>
          <w:p w14:paraId="6201135E"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SH, STTM y OAJM</w:t>
            </w:r>
          </w:p>
        </w:tc>
        <w:tc>
          <w:tcPr>
            <w:tcW w:w="3075" w:type="dxa"/>
            <w:vAlign w:val="center"/>
          </w:tcPr>
          <w:p w14:paraId="5E50EE37"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rPr>
              <w:t>16</w:t>
            </w:r>
            <w:r>
              <w:rPr>
                <w:rFonts w:ascii="Arial Narrow" w:eastAsia="Arial Narrow" w:hAnsi="Arial Narrow" w:cs="Arial Narrow"/>
                <w:color w:val="000000"/>
              </w:rPr>
              <w:t xml:space="preserve"> junio de 2026</w:t>
            </w:r>
          </w:p>
        </w:tc>
      </w:tr>
      <w:tr w:rsidR="00FF1F16" w14:paraId="14E58DF8" w14:textId="77777777">
        <w:trPr>
          <w:trHeight w:val="543"/>
          <w:jc w:val="center"/>
        </w:trPr>
        <w:tc>
          <w:tcPr>
            <w:tcW w:w="3840" w:type="dxa"/>
            <w:vAlign w:val="center"/>
          </w:tcPr>
          <w:p w14:paraId="730D5C9F" w14:textId="77777777"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color w:val="000000"/>
                <w:highlight w:val="white"/>
              </w:rPr>
              <w:t>Radicación del proyecto de acuerdo</w:t>
            </w:r>
          </w:p>
        </w:tc>
        <w:tc>
          <w:tcPr>
            <w:tcW w:w="2310" w:type="dxa"/>
            <w:vAlign w:val="center"/>
          </w:tcPr>
          <w:p w14:paraId="62A73566"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SH, STTM, OAJM y EG</w:t>
            </w:r>
          </w:p>
        </w:tc>
        <w:tc>
          <w:tcPr>
            <w:tcW w:w="3075" w:type="dxa"/>
            <w:vAlign w:val="center"/>
          </w:tcPr>
          <w:p w14:paraId="43B86ACA"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highlight w:val="white"/>
              </w:rPr>
              <w:t>J</w:t>
            </w:r>
            <w:r>
              <w:rPr>
                <w:rFonts w:ascii="Arial Narrow" w:eastAsia="Arial Narrow" w:hAnsi="Arial Narrow" w:cs="Arial Narrow"/>
                <w:color w:val="000000"/>
                <w:highlight w:val="white"/>
              </w:rPr>
              <w:t>unio de 2026</w:t>
            </w:r>
          </w:p>
        </w:tc>
      </w:tr>
      <w:tr w:rsidR="00FF1F16" w14:paraId="5396B50C" w14:textId="77777777">
        <w:trPr>
          <w:trHeight w:val="1149"/>
          <w:jc w:val="center"/>
        </w:trPr>
        <w:tc>
          <w:tcPr>
            <w:tcW w:w="3840" w:type="dxa"/>
            <w:vAlign w:val="center"/>
          </w:tcPr>
          <w:p w14:paraId="45841A9E" w14:textId="77777777"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highlight w:val="white"/>
              </w:rPr>
              <w:t xml:space="preserve">Socialización </w:t>
            </w:r>
            <w:r>
              <w:rPr>
                <w:rFonts w:ascii="Arial Narrow" w:eastAsia="Arial Narrow" w:hAnsi="Arial Narrow" w:cs="Arial Narrow"/>
                <w:color w:val="000000"/>
                <w:highlight w:val="white"/>
              </w:rPr>
              <w:t>ante el concejo del proyecto de acuerdo</w:t>
            </w:r>
          </w:p>
          <w:p w14:paraId="77FDE9B9" w14:textId="77777777" w:rsidR="00FF1F16" w:rsidRDefault="00FF1F16">
            <w:pPr>
              <w:pBdr>
                <w:top w:val="nil"/>
                <w:left w:val="nil"/>
                <w:bottom w:val="nil"/>
                <w:right w:val="nil"/>
                <w:between w:val="nil"/>
              </w:pBdr>
              <w:spacing w:after="200"/>
              <w:rPr>
                <w:rFonts w:ascii="Arial Narrow" w:eastAsia="Arial Narrow" w:hAnsi="Arial Narrow" w:cs="Arial Narrow"/>
                <w:color w:val="000000"/>
                <w:highlight w:val="white"/>
              </w:rPr>
            </w:pPr>
          </w:p>
        </w:tc>
        <w:tc>
          <w:tcPr>
            <w:tcW w:w="2310" w:type="dxa"/>
            <w:vAlign w:val="center"/>
          </w:tcPr>
          <w:p w14:paraId="62FC659A"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SH, STTM, OAJM y EG</w:t>
            </w:r>
          </w:p>
          <w:p w14:paraId="07D2A77B" w14:textId="77777777" w:rsidR="00FF1F16" w:rsidRDefault="004A6500">
            <w:pPr>
              <w:pBdr>
                <w:top w:val="nil"/>
                <w:left w:val="nil"/>
                <w:bottom w:val="nil"/>
                <w:right w:val="nil"/>
                <w:between w:val="nil"/>
              </w:pBdr>
              <w:spacing w:after="200"/>
              <w:jc w:val="center"/>
              <w:rPr>
                <w:rFonts w:ascii="Arial Narrow" w:eastAsia="Arial Narrow" w:hAnsi="Arial Narrow" w:cs="Arial Narrow"/>
                <w:highlight w:val="white"/>
              </w:rPr>
            </w:pPr>
            <w:r>
              <w:rPr>
                <w:rFonts w:ascii="Arial Narrow" w:eastAsia="Arial Narrow" w:hAnsi="Arial Narrow" w:cs="Arial Narrow"/>
                <w:highlight w:val="white"/>
              </w:rPr>
              <w:t>Concejo Municipal</w:t>
            </w:r>
          </w:p>
        </w:tc>
        <w:tc>
          <w:tcPr>
            <w:tcW w:w="3075" w:type="dxa"/>
            <w:vAlign w:val="center"/>
          </w:tcPr>
          <w:p w14:paraId="376FC7B1"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Ju</w:t>
            </w:r>
            <w:r>
              <w:rPr>
                <w:rFonts w:ascii="Arial Narrow" w:eastAsia="Arial Narrow" w:hAnsi="Arial Narrow" w:cs="Arial Narrow"/>
                <w:highlight w:val="white"/>
              </w:rPr>
              <w:t>l</w:t>
            </w:r>
            <w:r>
              <w:rPr>
                <w:rFonts w:ascii="Arial Narrow" w:eastAsia="Arial Narrow" w:hAnsi="Arial Narrow" w:cs="Arial Narrow"/>
                <w:color w:val="000000"/>
                <w:highlight w:val="white"/>
              </w:rPr>
              <w:t>io de 2026</w:t>
            </w:r>
          </w:p>
          <w:p w14:paraId="564C9902"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(Fecha según programación del Concejo de Popayán)</w:t>
            </w:r>
          </w:p>
        </w:tc>
      </w:tr>
      <w:tr w:rsidR="00FF1F16" w14:paraId="7838EA55" w14:textId="77777777">
        <w:trPr>
          <w:trHeight w:val="1150"/>
          <w:jc w:val="center"/>
        </w:trPr>
        <w:tc>
          <w:tcPr>
            <w:tcW w:w="3840" w:type="dxa"/>
            <w:vAlign w:val="center"/>
          </w:tcPr>
          <w:p w14:paraId="57AC6699" w14:textId="77777777"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color w:val="000000"/>
                <w:highlight w:val="white"/>
              </w:rPr>
              <w:t>Debates</w:t>
            </w:r>
          </w:p>
        </w:tc>
        <w:tc>
          <w:tcPr>
            <w:tcW w:w="2310" w:type="dxa"/>
            <w:vAlign w:val="center"/>
          </w:tcPr>
          <w:p w14:paraId="0BE8E23D"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SH, STTM, OAJM y EG</w:t>
            </w:r>
          </w:p>
          <w:p w14:paraId="003BEBCC" w14:textId="77777777"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Concejo Municipal</w:t>
            </w:r>
          </w:p>
        </w:tc>
        <w:tc>
          <w:tcPr>
            <w:tcW w:w="3075" w:type="dxa"/>
            <w:vAlign w:val="center"/>
          </w:tcPr>
          <w:p w14:paraId="15D195FA"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Julio 2026</w:t>
            </w:r>
          </w:p>
          <w:p w14:paraId="24735963" w14:textId="77777777"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(Fecha según programación del Concejo de Popayán)</w:t>
            </w:r>
          </w:p>
        </w:tc>
      </w:tr>
      <w:tr w:rsidR="00FF1F16" w14:paraId="3CD5B344" w14:textId="77777777">
        <w:trPr>
          <w:trHeight w:val="444"/>
          <w:jc w:val="center"/>
        </w:trPr>
        <w:tc>
          <w:tcPr>
            <w:tcW w:w="3840" w:type="dxa"/>
            <w:vAlign w:val="center"/>
          </w:tcPr>
          <w:p w14:paraId="3A82BA36" w14:textId="77777777"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highlight w:val="white"/>
              </w:rPr>
              <w:t>Sanción y publicación de decreto reglamentario</w:t>
            </w:r>
          </w:p>
        </w:tc>
        <w:tc>
          <w:tcPr>
            <w:tcW w:w="2310" w:type="dxa"/>
            <w:vAlign w:val="center"/>
          </w:tcPr>
          <w:p w14:paraId="442E82DB" w14:textId="77777777"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SH, OAJM y EG</w:t>
            </w:r>
          </w:p>
        </w:tc>
        <w:tc>
          <w:tcPr>
            <w:tcW w:w="3075" w:type="dxa"/>
            <w:vAlign w:val="center"/>
          </w:tcPr>
          <w:p w14:paraId="475EF236" w14:textId="77777777"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Octubre 2026</w:t>
            </w:r>
          </w:p>
          <w:p w14:paraId="207ED59D" w14:textId="77777777"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(Fecha según aprobación del Concejo de Popayán)</w:t>
            </w:r>
          </w:p>
        </w:tc>
      </w:tr>
      <w:tr w:rsidR="00FF1F16" w14:paraId="6B5A696F" w14:textId="77777777">
        <w:trPr>
          <w:trHeight w:val="690"/>
          <w:jc w:val="center"/>
        </w:trPr>
        <w:tc>
          <w:tcPr>
            <w:tcW w:w="3840" w:type="dxa"/>
            <w:vAlign w:val="center"/>
          </w:tcPr>
          <w:p w14:paraId="6D4AF943" w14:textId="77777777" w:rsidR="00FF1F16" w:rsidRDefault="004A6500">
            <w:pPr>
              <w:pBdr>
                <w:top w:val="nil"/>
                <w:left w:val="nil"/>
                <w:bottom w:val="nil"/>
                <w:right w:val="nil"/>
                <w:between w:val="nil"/>
              </w:pBdr>
              <w:spacing w:after="200"/>
              <w:rPr>
                <w:rFonts w:ascii="Arial Narrow" w:eastAsia="Arial Narrow" w:hAnsi="Arial Narrow" w:cs="Arial Narrow"/>
                <w:highlight w:val="white"/>
              </w:rPr>
            </w:pPr>
            <w:r>
              <w:rPr>
                <w:rFonts w:ascii="Arial Narrow" w:eastAsia="Arial Narrow" w:hAnsi="Arial Narrow" w:cs="Arial Narrow"/>
                <w:highlight w:val="white"/>
              </w:rPr>
              <w:t>Constitución del FET</w:t>
            </w:r>
          </w:p>
        </w:tc>
        <w:tc>
          <w:tcPr>
            <w:tcW w:w="2310" w:type="dxa"/>
            <w:vAlign w:val="center"/>
          </w:tcPr>
          <w:p w14:paraId="70497D11" w14:textId="77777777"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SH, OAJM y EG</w:t>
            </w:r>
          </w:p>
        </w:tc>
        <w:tc>
          <w:tcPr>
            <w:tcW w:w="3075" w:type="dxa"/>
            <w:vAlign w:val="center"/>
          </w:tcPr>
          <w:p w14:paraId="4E4FED96" w14:textId="77777777" w:rsidR="00FF1F16" w:rsidRDefault="004A6500">
            <w:pPr>
              <w:pBdr>
                <w:top w:val="nil"/>
                <w:left w:val="nil"/>
                <w:bottom w:val="nil"/>
                <w:right w:val="nil"/>
                <w:between w:val="nil"/>
              </w:pBdr>
              <w:spacing w:after="200"/>
              <w:jc w:val="center"/>
              <w:rPr>
                <w:rFonts w:ascii="Arial Narrow" w:eastAsia="Arial Narrow" w:hAnsi="Arial Narrow" w:cs="Arial Narrow"/>
                <w:highlight w:val="white"/>
              </w:rPr>
            </w:pPr>
            <w:r>
              <w:rPr>
                <w:rFonts w:ascii="Arial Narrow" w:eastAsia="Arial Narrow" w:hAnsi="Arial Narrow" w:cs="Arial Narrow"/>
                <w:highlight w:val="white"/>
              </w:rPr>
              <w:t>Noviembre 2026 (Fecha según aprobación del Concejo de Popayán)</w:t>
            </w:r>
          </w:p>
        </w:tc>
      </w:tr>
    </w:tbl>
    <w:p w14:paraId="068BAE48" w14:textId="77777777" w:rsidR="00FF1F16" w:rsidRDefault="00FF1F16">
      <w:pPr>
        <w:rPr>
          <w:rFonts w:ascii="Arial Narrow" w:eastAsia="Arial Narrow" w:hAnsi="Arial Narrow" w:cs="Arial Narrow"/>
        </w:rPr>
      </w:pPr>
    </w:p>
    <w:p w14:paraId="37A9A373"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Se mantiene la fecha inicial Límite:</w:t>
      </w:r>
      <w:r>
        <w:rPr>
          <w:rFonts w:ascii="Arial Narrow" w:eastAsia="Arial Narrow" w:hAnsi="Arial Narrow" w:cs="Arial Narrow"/>
          <w:sz w:val="24"/>
          <w:szCs w:val="24"/>
        </w:rPr>
        <w:t xml:space="preserve"> noviembre de 2026</w:t>
      </w:r>
    </w:p>
    <w:p w14:paraId="01F03B76" w14:textId="77777777" w:rsidR="00FF1F16" w:rsidRDefault="00FF1F16">
      <w:pPr>
        <w:rPr>
          <w:rFonts w:ascii="Arial Narrow" w:eastAsia="Arial Narrow" w:hAnsi="Arial Narrow" w:cs="Arial Narrow"/>
        </w:rPr>
      </w:pPr>
    </w:p>
    <w:p w14:paraId="7825D8AF" w14:textId="77777777" w:rsidR="00FF1F16" w:rsidRDefault="004A6500">
      <w:pPr>
        <w:numPr>
          <w:ilvl w:val="0"/>
          <w:numId w:val="1"/>
        </w:numPr>
        <w:pBdr>
          <w:top w:val="nil"/>
          <w:left w:val="nil"/>
          <w:bottom w:val="nil"/>
          <w:right w:val="nil"/>
          <w:between w:val="nil"/>
        </w:pBdr>
        <w:spacing w:line="240" w:lineRule="auto"/>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lastRenderedPageBreak/>
        <w:t xml:space="preserve">CIERRE DEL PROCESO ADMINISTRATIVO Y LEGAL PARA LA OPERACIÓN DEL SERVICIO. </w:t>
      </w:r>
    </w:p>
    <w:p w14:paraId="5EF6A1F8" w14:textId="77777777" w:rsidR="00FF1F16" w:rsidRDefault="00FF1F16">
      <w:pPr>
        <w:rPr>
          <w:rFonts w:ascii="Arial Narrow" w:eastAsia="Arial Narrow" w:hAnsi="Arial Narrow" w:cs="Arial Narrow"/>
          <w:sz w:val="24"/>
          <w:szCs w:val="24"/>
        </w:rPr>
      </w:pPr>
    </w:p>
    <w:p w14:paraId="36B08355"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b/>
          <w:bCs/>
          <w:sz w:val="24"/>
          <w:szCs w:val="24"/>
        </w:rPr>
        <w:t>Compromiso:</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Agotar el proceso de socialización, definición y emisión de los actos administrativos de reorganización de rutas o la definición e inicio del proceso de licitación de la operación.</w:t>
      </w:r>
    </w:p>
    <w:p w14:paraId="2CAB1E5C"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Secretaría de Tránsito y Transporte/ Ente Gestor</w:t>
      </w:r>
    </w:p>
    <w:p w14:paraId="3BB87807"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abril 2026</w:t>
      </w:r>
    </w:p>
    <w:p w14:paraId="2EE17EC2" w14:textId="77777777" w:rsidR="00FF1F16" w:rsidRDefault="00FF1F16">
      <w:pPr>
        <w:rPr>
          <w:rFonts w:ascii="Arial Narrow" w:eastAsia="Arial Narrow" w:hAnsi="Arial Narrow" w:cs="Arial Narrow"/>
          <w:b/>
          <w:bCs/>
          <w:sz w:val="24"/>
          <w:szCs w:val="24"/>
          <w:u w:val="single"/>
        </w:rPr>
      </w:pPr>
    </w:p>
    <w:p w14:paraId="1BC8A6A1" w14:textId="77777777"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14:paraId="7BAD3345"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Durante el año 2025, de manera conjunta entre la Secretaría de Tránsito y Transporte Municipal y el Ente Gestor, se identificó que los estudios de la Estructuración Técnica, Legal y Financiera – ETLF aprobados por el DNP mediante radicado No. 20195280260231 del 2 de mayo de 2019, así como la actualización del componente técnico realizada en 2023, requerían revisión y armonización frente a las condiciones actuales de prestación del servicio y del proceso de implementación del SETP.</w:t>
      </w:r>
    </w:p>
    <w:p w14:paraId="3E94D487"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6EAA1F9F"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En desarrollo de este proceso se adelantó revisión técnica y administrativa de los documentos asociados al permiso de operación y reorganización del servicio, incorporando las observaciones presentadas por las empresas transportadoras y los análisis derivados de las dinámicas actuales del transporte público colectivo del municipio.</w:t>
      </w:r>
    </w:p>
    <w:p w14:paraId="0F8C1C23"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0D202A7B"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De igual manera, entre el Ente Gestor y la Secretaría de Tránsito se desarrollaron mesas técnicas orientadas a evaluar la incorporación de vehículos al parque automotor y el análisis del impacto operacional y financiero derivado la entrada de flota usada, incorporación de rutas desatendidas, que impactan en el esquema de implementación del SETP.</w:t>
      </w:r>
    </w:p>
    <w:p w14:paraId="260A7A44"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7B014469"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Como parte de este ejercicio técnico e institucional, se reconoce que debe realizarse una actualización y ajuste del documento asociado al Permiso de Operación, el cual fue remitido a la Secretaría de Tránsito para revisión, discusión y retroalimentación correspondiente, manteniéndose el intercambio técnico entre las entidades para fortalecer la definición de los instrumentos administrativos requeridos para la operación del sistema.</w:t>
      </w:r>
    </w:p>
    <w:p w14:paraId="7AAA7BCF" w14:textId="77777777" w:rsidR="00FF1F16" w:rsidRDefault="00FF1F16">
      <w:pPr>
        <w:jc w:val="both"/>
        <w:rPr>
          <w:rFonts w:ascii="Arial Narrow" w:eastAsia="Arial Narrow" w:hAnsi="Arial Narrow" w:cs="Arial Narrow"/>
          <w:sz w:val="24"/>
          <w:szCs w:val="24"/>
        </w:rPr>
      </w:pPr>
    </w:p>
    <w:p w14:paraId="795CA437"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7214C119"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Como resultado del trabajo técnico adelantado entre la Secretaría de Tránsito y Transporte Municipal y el Ente Gestor, se logró identificar la necesidad de armonizar los estudios de la Estructuración Técnica, Legal </w:t>
      </w:r>
      <w:r>
        <w:rPr>
          <w:rFonts w:ascii="Arial Narrow" w:eastAsia="Arial Narrow" w:hAnsi="Arial Narrow" w:cs="Arial Narrow"/>
          <w:sz w:val="24"/>
          <w:szCs w:val="24"/>
        </w:rPr>
        <w:lastRenderedPageBreak/>
        <w:t>y Financiera – ETLF y sus actualizaciones con las condiciones actuales de prestación del servicio y del proceso de implementación del SETP.</w:t>
      </w:r>
    </w:p>
    <w:p w14:paraId="2140C44F"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4CB7D7A6" w14:textId="77777777" w:rsidR="00FF1F16" w:rsidRDefault="004A6500">
      <w:pPr>
        <w:pBdr>
          <w:top w:val="nil"/>
          <w:left w:val="nil"/>
          <w:bottom w:val="nil"/>
          <w:right w:val="nil"/>
          <w:between w:val="nil"/>
        </w:pBdr>
        <w:spacing w:line="240" w:lineRule="auto"/>
        <w:jc w:val="both"/>
        <w:rPr>
          <w:rFonts w:ascii="Arial Narrow" w:eastAsia="Arial Narrow" w:hAnsi="Arial Narrow" w:cs="Arial Narrow"/>
          <w:color w:val="000000"/>
          <w:sz w:val="24"/>
          <w:szCs w:val="24"/>
        </w:rPr>
      </w:pPr>
      <w:r>
        <w:rPr>
          <w:rFonts w:ascii="Arial Narrow" w:eastAsia="Arial Narrow" w:hAnsi="Arial Narrow" w:cs="Arial Narrow"/>
          <w:sz w:val="24"/>
          <w:szCs w:val="24"/>
        </w:rPr>
        <w:t>Documento</w:t>
      </w:r>
      <w:r>
        <w:rPr>
          <w:rFonts w:ascii="Arial Narrow" w:eastAsia="Arial Narrow" w:hAnsi="Arial Narrow" w:cs="Arial Narrow"/>
          <w:color w:val="000000"/>
          <w:sz w:val="24"/>
          <w:szCs w:val="24"/>
        </w:rPr>
        <w:t xml:space="preserve"> borrador de anexo técnico y presupuesto </w:t>
      </w:r>
      <w:r>
        <w:rPr>
          <w:rFonts w:ascii="Arial Narrow" w:eastAsia="Arial Narrow" w:hAnsi="Arial Narrow" w:cs="Arial Narrow"/>
          <w:sz w:val="24"/>
          <w:szCs w:val="24"/>
        </w:rPr>
        <w:t>para el estudio de actualización de la ETLF.</w:t>
      </w:r>
    </w:p>
    <w:p w14:paraId="43D8EA0C" w14:textId="77777777" w:rsidR="00FF1F16" w:rsidRDefault="00FF1F16">
      <w:pPr>
        <w:spacing w:before="240" w:after="240"/>
        <w:jc w:val="both"/>
        <w:rPr>
          <w:rFonts w:ascii="Arial Narrow" w:eastAsia="Arial Narrow" w:hAnsi="Arial Narrow" w:cs="Arial Narrow"/>
          <w:b/>
          <w:bCs/>
          <w:sz w:val="24"/>
          <w:szCs w:val="24"/>
          <w:u w:val="single"/>
        </w:rPr>
      </w:pPr>
    </w:p>
    <w:p w14:paraId="7397BA07"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tbl>
      <w:tblPr>
        <w:tblStyle w:val="a2"/>
        <w:tblW w:w="885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905"/>
        <w:gridCol w:w="1575"/>
        <w:gridCol w:w="2370"/>
      </w:tblGrid>
      <w:tr w:rsidR="00FF1F16" w14:paraId="15395F29" w14:textId="77777777">
        <w:trPr>
          <w:trHeight w:val="331"/>
          <w:jc w:val="center"/>
        </w:trPr>
        <w:tc>
          <w:tcPr>
            <w:tcW w:w="4905" w:type="dxa"/>
            <w:shd w:val="clear" w:color="auto" w:fill="D0CECE"/>
            <w:vAlign w:val="center"/>
          </w:tcPr>
          <w:p w14:paraId="1EC89F6C"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1575" w:type="dxa"/>
            <w:shd w:val="clear" w:color="auto" w:fill="D0CECE"/>
            <w:vAlign w:val="center"/>
          </w:tcPr>
          <w:p w14:paraId="1198B5E6"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Responsable</w:t>
            </w:r>
          </w:p>
        </w:tc>
        <w:tc>
          <w:tcPr>
            <w:tcW w:w="2370" w:type="dxa"/>
            <w:shd w:val="clear" w:color="auto" w:fill="D0CECE"/>
            <w:vAlign w:val="center"/>
          </w:tcPr>
          <w:p w14:paraId="2A86ECDB"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14:paraId="636F3861" w14:textId="77777777">
        <w:trPr>
          <w:trHeight w:val="331"/>
          <w:jc w:val="center"/>
        </w:trPr>
        <w:tc>
          <w:tcPr>
            <w:tcW w:w="4905" w:type="dxa"/>
            <w:vAlign w:val="center"/>
          </w:tcPr>
          <w:p w14:paraId="550453F4"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Definición de alcance financiero final</w:t>
            </w:r>
          </w:p>
        </w:tc>
        <w:tc>
          <w:tcPr>
            <w:tcW w:w="1575" w:type="dxa"/>
            <w:vAlign w:val="center"/>
          </w:tcPr>
          <w:p w14:paraId="221589FD"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14:paraId="2F5B7A4A"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junio de 2026</w:t>
            </w:r>
          </w:p>
        </w:tc>
      </w:tr>
      <w:tr w:rsidR="00FF1F16" w14:paraId="0AEE1DF7" w14:textId="77777777">
        <w:trPr>
          <w:trHeight w:val="524"/>
          <w:jc w:val="center"/>
        </w:trPr>
        <w:tc>
          <w:tcPr>
            <w:tcW w:w="4905" w:type="dxa"/>
            <w:vAlign w:val="center"/>
          </w:tcPr>
          <w:p w14:paraId="3CD2D6BA"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Viabilidad financiera y traslado de recursos por parte de la STMM</w:t>
            </w:r>
          </w:p>
        </w:tc>
        <w:tc>
          <w:tcPr>
            <w:tcW w:w="1575" w:type="dxa"/>
            <w:vAlign w:val="center"/>
          </w:tcPr>
          <w:p w14:paraId="7F847036"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STTM</w:t>
            </w:r>
          </w:p>
        </w:tc>
        <w:tc>
          <w:tcPr>
            <w:tcW w:w="2370" w:type="dxa"/>
            <w:vAlign w:val="center"/>
          </w:tcPr>
          <w:p w14:paraId="16D1D53C"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junio de 2026</w:t>
            </w:r>
          </w:p>
        </w:tc>
      </w:tr>
      <w:tr w:rsidR="00FF1F16" w14:paraId="5BD18147" w14:textId="77777777">
        <w:trPr>
          <w:trHeight w:val="331"/>
          <w:jc w:val="center"/>
        </w:trPr>
        <w:tc>
          <w:tcPr>
            <w:tcW w:w="4905" w:type="dxa"/>
            <w:vAlign w:val="center"/>
          </w:tcPr>
          <w:p w14:paraId="6C0044ED"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Estudios previos</w:t>
            </w:r>
          </w:p>
        </w:tc>
        <w:tc>
          <w:tcPr>
            <w:tcW w:w="1575" w:type="dxa"/>
            <w:vAlign w:val="center"/>
          </w:tcPr>
          <w:p w14:paraId="61611AC7"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14:paraId="654D26AC"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julio de 2026</w:t>
            </w:r>
          </w:p>
        </w:tc>
      </w:tr>
      <w:tr w:rsidR="00FF1F16" w14:paraId="22879DE4" w14:textId="77777777">
        <w:trPr>
          <w:trHeight w:val="319"/>
          <w:jc w:val="center"/>
        </w:trPr>
        <w:tc>
          <w:tcPr>
            <w:tcW w:w="4905" w:type="dxa"/>
            <w:vAlign w:val="center"/>
          </w:tcPr>
          <w:p w14:paraId="0F59771C"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Consultoría</w:t>
            </w:r>
          </w:p>
        </w:tc>
        <w:tc>
          <w:tcPr>
            <w:tcW w:w="1575" w:type="dxa"/>
            <w:vAlign w:val="center"/>
          </w:tcPr>
          <w:p w14:paraId="763B1960"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14:paraId="54497E85"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Agosto-noviembre de 2026</w:t>
            </w:r>
          </w:p>
        </w:tc>
      </w:tr>
      <w:tr w:rsidR="00FF1F16" w14:paraId="642220D7" w14:textId="77777777">
        <w:trPr>
          <w:trHeight w:val="331"/>
          <w:jc w:val="center"/>
        </w:trPr>
        <w:tc>
          <w:tcPr>
            <w:tcW w:w="4905" w:type="dxa"/>
            <w:vAlign w:val="center"/>
          </w:tcPr>
          <w:p w14:paraId="47C10B0B"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Resultados</w:t>
            </w:r>
          </w:p>
        </w:tc>
        <w:tc>
          <w:tcPr>
            <w:tcW w:w="1575" w:type="dxa"/>
            <w:vAlign w:val="center"/>
          </w:tcPr>
          <w:p w14:paraId="53D18F52"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14:paraId="29740CF7"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rPr>
              <w:t xml:space="preserve">Diciembre </w:t>
            </w:r>
            <w:r>
              <w:rPr>
                <w:rFonts w:ascii="Arial Narrow" w:eastAsia="Arial Narrow" w:hAnsi="Arial Narrow" w:cs="Arial Narrow"/>
                <w:color w:val="000000"/>
              </w:rPr>
              <w:t>de 2026</w:t>
            </w:r>
          </w:p>
        </w:tc>
      </w:tr>
      <w:tr w:rsidR="00FF1F16" w14:paraId="45596D20" w14:textId="77777777">
        <w:trPr>
          <w:trHeight w:val="331"/>
          <w:jc w:val="center"/>
        </w:trPr>
        <w:tc>
          <w:tcPr>
            <w:tcW w:w="4905" w:type="dxa"/>
            <w:vAlign w:val="center"/>
          </w:tcPr>
          <w:p w14:paraId="0C52D264"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Actualización de actos administrativos</w:t>
            </w:r>
          </w:p>
        </w:tc>
        <w:tc>
          <w:tcPr>
            <w:tcW w:w="1575" w:type="dxa"/>
            <w:vAlign w:val="center"/>
          </w:tcPr>
          <w:p w14:paraId="605E0A96"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14:paraId="12C9088B"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proofErr w:type="gramStart"/>
            <w:r>
              <w:rPr>
                <w:rFonts w:ascii="Arial Narrow" w:eastAsia="Arial Narrow" w:hAnsi="Arial Narrow" w:cs="Arial Narrow"/>
              </w:rPr>
              <w:t xml:space="preserve">Diciembre </w:t>
            </w:r>
            <w:r>
              <w:rPr>
                <w:rFonts w:ascii="Arial Narrow" w:eastAsia="Arial Narrow" w:hAnsi="Arial Narrow" w:cs="Arial Narrow"/>
                <w:color w:val="000000"/>
              </w:rPr>
              <w:t xml:space="preserve"> de</w:t>
            </w:r>
            <w:proofErr w:type="gramEnd"/>
            <w:r>
              <w:rPr>
                <w:rFonts w:ascii="Arial Narrow" w:eastAsia="Arial Narrow" w:hAnsi="Arial Narrow" w:cs="Arial Narrow"/>
                <w:color w:val="000000"/>
              </w:rPr>
              <w:t xml:space="preserve"> 2026</w:t>
            </w:r>
          </w:p>
        </w:tc>
      </w:tr>
      <w:tr w:rsidR="00FF1F16" w14:paraId="1225EFF7" w14:textId="77777777">
        <w:trPr>
          <w:trHeight w:val="319"/>
          <w:jc w:val="center"/>
        </w:trPr>
        <w:tc>
          <w:tcPr>
            <w:tcW w:w="4905" w:type="dxa"/>
            <w:vAlign w:val="center"/>
          </w:tcPr>
          <w:p w14:paraId="12BC3A0C" w14:textId="77777777"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Expedición de actos administrativos</w:t>
            </w:r>
          </w:p>
        </w:tc>
        <w:tc>
          <w:tcPr>
            <w:tcW w:w="1575" w:type="dxa"/>
            <w:vAlign w:val="center"/>
          </w:tcPr>
          <w:p w14:paraId="5A0B9488"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STTM</w:t>
            </w:r>
          </w:p>
        </w:tc>
        <w:tc>
          <w:tcPr>
            <w:tcW w:w="2370" w:type="dxa"/>
            <w:vAlign w:val="center"/>
          </w:tcPr>
          <w:p w14:paraId="094E0BC3" w14:textId="77777777"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rPr>
              <w:t xml:space="preserve">Diciembre </w:t>
            </w:r>
            <w:r>
              <w:rPr>
                <w:rFonts w:ascii="Arial Narrow" w:eastAsia="Arial Narrow" w:hAnsi="Arial Narrow" w:cs="Arial Narrow"/>
                <w:color w:val="000000"/>
              </w:rPr>
              <w:t>de 2026</w:t>
            </w:r>
          </w:p>
        </w:tc>
      </w:tr>
    </w:tbl>
    <w:p w14:paraId="54738C14" w14:textId="77777777" w:rsidR="00FF1F16" w:rsidRDefault="00FF1F16">
      <w:pPr>
        <w:rPr>
          <w:rFonts w:ascii="Arial Narrow" w:eastAsia="Arial Narrow" w:hAnsi="Arial Narrow" w:cs="Arial Narrow"/>
        </w:rPr>
      </w:pPr>
    </w:p>
    <w:p w14:paraId="6FD1C1B1"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r>
        <w:rPr>
          <w:rFonts w:ascii="Arial Narrow" w:eastAsia="Arial Narrow" w:hAnsi="Arial Narrow" w:cs="Arial Narrow"/>
          <w:sz w:val="24"/>
          <w:szCs w:val="24"/>
        </w:rPr>
        <w:t xml:space="preserve"> </w:t>
      </w:r>
      <w:proofErr w:type="gramStart"/>
      <w:r>
        <w:rPr>
          <w:rFonts w:ascii="Arial Narrow" w:eastAsia="Arial Narrow" w:hAnsi="Arial Narrow" w:cs="Arial Narrow"/>
          <w:sz w:val="24"/>
          <w:szCs w:val="24"/>
        </w:rPr>
        <w:t>Diciembre</w:t>
      </w:r>
      <w:proofErr w:type="gramEnd"/>
      <w:r>
        <w:rPr>
          <w:rFonts w:ascii="Arial Narrow" w:eastAsia="Arial Narrow" w:hAnsi="Arial Narrow" w:cs="Arial Narrow"/>
          <w:sz w:val="24"/>
          <w:szCs w:val="24"/>
        </w:rPr>
        <w:t xml:space="preserve"> de 2026</w:t>
      </w:r>
    </w:p>
    <w:p w14:paraId="5D0088C1" w14:textId="77777777" w:rsidR="00FF1F16" w:rsidRDefault="00FF1F16">
      <w:pPr>
        <w:rPr>
          <w:rFonts w:ascii="Arial Narrow" w:eastAsia="Arial Narrow" w:hAnsi="Arial Narrow" w:cs="Arial Narrow"/>
          <w:sz w:val="24"/>
          <w:szCs w:val="24"/>
        </w:rPr>
      </w:pPr>
    </w:p>
    <w:p w14:paraId="788B2BDA" w14:textId="77777777" w:rsidR="00FF1F16" w:rsidRDefault="00FF1F16">
      <w:pPr>
        <w:rPr>
          <w:rFonts w:ascii="Arial Narrow" w:eastAsia="Arial Narrow" w:hAnsi="Arial Narrow" w:cs="Arial Narrow"/>
          <w:sz w:val="24"/>
          <w:szCs w:val="24"/>
        </w:rPr>
      </w:pPr>
    </w:p>
    <w:p w14:paraId="0E1E3EF0"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color w:val="000000"/>
          <w:sz w:val="24"/>
          <w:szCs w:val="24"/>
        </w:rPr>
        <w:t>4.TERMINAR EL PROCESO DE IMPLEMENTACIÓN TECNOLÓGICA DEL SETP</w:t>
      </w:r>
    </w:p>
    <w:p w14:paraId="396130AA"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Cerrar técnica, legal y financieramente el contrato tecnológico.</w:t>
      </w:r>
    </w:p>
    <w:p w14:paraId="6094BB6E"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Ente Gestor</w:t>
      </w:r>
    </w:p>
    <w:p w14:paraId="44E7445A"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Límite del memorando:</w:t>
      </w:r>
      <w:r>
        <w:rPr>
          <w:rFonts w:ascii="Arial Narrow" w:eastAsia="Arial Narrow" w:hAnsi="Arial Narrow" w:cs="Arial Narrow"/>
          <w:sz w:val="24"/>
          <w:szCs w:val="24"/>
        </w:rPr>
        <w:t xml:space="preserve"> junio 2026</w:t>
      </w:r>
    </w:p>
    <w:p w14:paraId="7735FEEB" w14:textId="77777777" w:rsidR="00FF1F16" w:rsidRDefault="00FF1F16">
      <w:pPr>
        <w:rPr>
          <w:rFonts w:ascii="Arial Narrow" w:eastAsia="Arial Narrow" w:hAnsi="Arial Narrow" w:cs="Arial Narrow"/>
          <w:sz w:val="24"/>
          <w:szCs w:val="24"/>
        </w:rPr>
      </w:pPr>
    </w:p>
    <w:p w14:paraId="6D816F7C"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Garantizar la instalación del 60% de la tecnología de recaudo y el funcionamiento del SGCF.</w:t>
      </w:r>
    </w:p>
    <w:p w14:paraId="199EDA77"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Ente Gestor</w:t>
      </w:r>
    </w:p>
    <w:p w14:paraId="7E2FC8CA"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lastRenderedPageBreak/>
        <w:t>Fecha Límite:</w:t>
      </w:r>
      <w:r>
        <w:rPr>
          <w:rFonts w:ascii="Arial Narrow" w:eastAsia="Arial Narrow" w:hAnsi="Arial Narrow" w:cs="Arial Narrow"/>
          <w:sz w:val="24"/>
          <w:szCs w:val="24"/>
        </w:rPr>
        <w:t xml:space="preserve"> enero 2026 (se debe corregir fecha, es enero 2027)</w:t>
      </w:r>
    </w:p>
    <w:p w14:paraId="0A36EB1E" w14:textId="77777777" w:rsidR="00FF1F16" w:rsidRDefault="00FF1F16">
      <w:pPr>
        <w:rPr>
          <w:rFonts w:ascii="Arial Narrow" w:eastAsia="Arial Narrow" w:hAnsi="Arial Narrow" w:cs="Arial Narrow"/>
          <w:sz w:val="24"/>
          <w:szCs w:val="24"/>
        </w:rPr>
      </w:pPr>
    </w:p>
    <w:p w14:paraId="77E68994"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3:</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Garantizar la instalación del 100% de la tecnología de recaudo.</w:t>
      </w:r>
    </w:p>
    <w:p w14:paraId="6238EEFF"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Ente Gestor</w:t>
      </w:r>
    </w:p>
    <w:p w14:paraId="3D358CC5"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Límite:</w:t>
      </w:r>
      <w:r>
        <w:rPr>
          <w:rFonts w:ascii="Arial Narrow" w:eastAsia="Arial Narrow" w:hAnsi="Arial Narrow" w:cs="Arial Narrow"/>
          <w:sz w:val="24"/>
          <w:szCs w:val="24"/>
        </w:rPr>
        <w:t xml:space="preserve"> diciembre 2026 </w:t>
      </w:r>
    </w:p>
    <w:p w14:paraId="4A663D21" w14:textId="77777777" w:rsidR="00FF1F16" w:rsidRDefault="00FF1F16">
      <w:pPr>
        <w:rPr>
          <w:rFonts w:ascii="Arial Narrow" w:eastAsia="Arial Narrow" w:hAnsi="Arial Narrow" w:cs="Arial Narrow"/>
          <w:color w:val="000000"/>
          <w:sz w:val="24"/>
          <w:szCs w:val="24"/>
        </w:rPr>
      </w:pPr>
    </w:p>
    <w:p w14:paraId="4F43F37A" w14:textId="77777777" w:rsidR="00FF1F16" w:rsidRDefault="00FF1F16">
      <w:pPr>
        <w:rPr>
          <w:rFonts w:ascii="Arial Narrow" w:eastAsia="Arial Narrow" w:hAnsi="Arial Narrow" w:cs="Arial Narrow"/>
          <w:b/>
          <w:bCs/>
          <w:sz w:val="24"/>
          <w:szCs w:val="24"/>
          <w:u w:val="single"/>
        </w:rPr>
      </w:pPr>
    </w:p>
    <w:p w14:paraId="7CE07D03" w14:textId="77777777"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14:paraId="4B28D94B" w14:textId="77777777" w:rsidR="00FF1F16" w:rsidRDefault="00FF1F16">
      <w:pPr>
        <w:jc w:val="both"/>
        <w:rPr>
          <w:rFonts w:ascii="Arial Narrow" w:eastAsia="Arial Narrow" w:hAnsi="Arial Narrow" w:cs="Arial Narrow"/>
          <w:sz w:val="24"/>
          <w:szCs w:val="24"/>
        </w:rPr>
      </w:pPr>
    </w:p>
    <w:p w14:paraId="7925002A"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Con el fin de consolidar la fase final del componente tecnológico del SETP, el ente gestor garantiza la continuidad técnica y contractual del Contrato No. 246 de 2023 (SRC, SGCF y SIU). En línea con la hoja de ruta para resolver la Problemática Nro. 1 del Memorando de Entendimiento, la ruta crítica exige, como condición habilitante e indispensable, la incorporación de la interventoría ITS. Este paso es necesario para dar estricto cumplimiento al artículo 172 de la Ley 2294 de 2023, para la verificación y puesta en marcha de sistemas inteligentes de transporte.</w:t>
      </w:r>
    </w:p>
    <w:p w14:paraId="1B843702"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3A3F02FF"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Se ha realizado el seguimiento continuo a la ejecución del contrato y al estado de los equipos tecnológicos, incluidos los kits a bordo ya nacionalizados. Esto incluye la planeación de las actuaciones necesarias para su futura instalación y puesta en marcha, una vez se consolide el acompañamiento de la interventoría correspondiente. </w:t>
      </w:r>
    </w:p>
    <w:p w14:paraId="1E62BE1D"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4D243155"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008558B5"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Como resultado de las actuaciones adelantadas, el Ente Gestor cuenta con el contrato No. 246 de 2023 vigente y estructurado para la implementación de los componentes tecnológicos del SETP, incluyendo recaudo centralizado, control y gestión de flota e información al usuario, constituyéndose en el instrumento contractual que soporta la modernización tecnológica del sistema.</w:t>
      </w:r>
    </w:p>
    <w:p w14:paraId="16A8CE88"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6507E26A"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Igualmente, se cuenta con aproximadamente 200 kits de equipos a bordo nacionalizados en la ciudad de Bogotá en ejecución del contrato tecnológico, los cuales se encuentran disponibles para su instalación y puesta en funcionamiento dentro del proceso de implementación.</w:t>
      </w:r>
    </w:p>
    <w:p w14:paraId="7A85EBE3"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7EB750DB"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Durante el desarrollo del proceso se presentaron dilaciones asociadas a la necesidad de consolidar el acompañamiento de la interventoría ITS y a los resultados de los procesos de selección adelantados para su contratación, situación que ha incidido en la ejecución del contrato tecnológico y en la programación de actividades relacionadas con la instalación y operación de los sistemas.</w:t>
      </w:r>
    </w:p>
    <w:p w14:paraId="59A5E941"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rPr>
        <w:lastRenderedPageBreak/>
        <w:t xml:space="preserve"> </w:t>
      </w:r>
    </w:p>
    <w:p w14:paraId="4CF23AA7" w14:textId="77777777" w:rsidR="00FF1F16" w:rsidRDefault="004A6500">
      <w:pPr>
        <w:pBdr>
          <w:top w:val="nil"/>
          <w:left w:val="nil"/>
          <w:bottom w:val="nil"/>
          <w:right w:val="nil"/>
          <w:between w:val="nil"/>
        </w:pBdr>
        <w:jc w:val="both"/>
        <w:rPr>
          <w:rFonts w:ascii="Arial Narrow" w:eastAsia="Arial Narrow" w:hAnsi="Arial Narrow" w:cs="Arial Narrow"/>
          <w:sz w:val="26"/>
          <w:szCs w:val="26"/>
        </w:rPr>
      </w:pPr>
      <w:r>
        <w:rPr>
          <w:rFonts w:ascii="Arial Narrow" w:eastAsia="Arial Narrow" w:hAnsi="Arial Narrow" w:cs="Arial Narrow"/>
          <w:sz w:val="24"/>
          <w:szCs w:val="24"/>
        </w:rPr>
        <w:t>En este sentido, la interventoría tecnológica constituye una condición habilitante para avanzar en el cierre técnico, legal y financiero del contrato 246 de 2023 y en la instalación, verificación y funcionamiento de los componentes SGCF, SRC y SIU, razón por la cual el Ente Gestor man</w:t>
      </w:r>
      <w:r>
        <w:rPr>
          <w:rFonts w:ascii="Arial Narrow" w:eastAsia="Arial Narrow" w:hAnsi="Arial Narrow" w:cs="Arial Narrow"/>
          <w:sz w:val="26"/>
          <w:szCs w:val="26"/>
        </w:rPr>
        <w:t>tiene la ruta contractual definida para garantizar la continuidad del proceso de implementación tecnológica del SETP.</w:t>
      </w:r>
    </w:p>
    <w:p w14:paraId="03C102EC"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6"/>
          <w:szCs w:val="26"/>
          <w:u w:val="single"/>
        </w:rPr>
        <w:t>Plan de trabajo para cada compromiso, con cronograma y actor</w:t>
      </w:r>
      <w:r>
        <w:rPr>
          <w:rFonts w:ascii="Arial Narrow" w:eastAsia="Arial Narrow" w:hAnsi="Arial Narrow" w:cs="Arial Narrow"/>
          <w:b/>
          <w:bCs/>
          <w:sz w:val="24"/>
          <w:szCs w:val="24"/>
          <w:u w:val="single"/>
        </w:rPr>
        <w:t>es implicados.</w:t>
      </w:r>
    </w:p>
    <w:tbl>
      <w:tblPr>
        <w:tblStyle w:val="a3"/>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14:paraId="3F44D6A4" w14:textId="77777777">
        <w:trPr>
          <w:trHeight w:val="270"/>
          <w:jc w:val="center"/>
        </w:trPr>
        <w:tc>
          <w:tcPr>
            <w:tcW w:w="5187" w:type="dxa"/>
            <w:shd w:val="clear" w:color="auto" w:fill="D0CECE"/>
            <w:vAlign w:val="center"/>
          </w:tcPr>
          <w:p w14:paraId="1E99BA94"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1450" w:type="dxa"/>
            <w:shd w:val="clear" w:color="auto" w:fill="D0CECE"/>
            <w:vAlign w:val="center"/>
          </w:tcPr>
          <w:p w14:paraId="0A978501"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Responsable</w:t>
            </w:r>
          </w:p>
        </w:tc>
        <w:tc>
          <w:tcPr>
            <w:tcW w:w="2776" w:type="dxa"/>
            <w:shd w:val="clear" w:color="auto" w:fill="D0CECE"/>
            <w:vAlign w:val="center"/>
          </w:tcPr>
          <w:p w14:paraId="71D6248B"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14:paraId="02442E51" w14:textId="77777777">
        <w:trPr>
          <w:trHeight w:val="13"/>
          <w:jc w:val="center"/>
        </w:trPr>
        <w:tc>
          <w:tcPr>
            <w:tcW w:w="5187" w:type="dxa"/>
            <w:vAlign w:val="center"/>
          </w:tcPr>
          <w:p w14:paraId="4EEB2C04" w14:textId="77777777" w:rsidR="00FF1F16" w:rsidRDefault="004A6500">
            <w:pPr>
              <w:rPr>
                <w:rFonts w:ascii="Arial Narrow" w:eastAsia="Arial Narrow" w:hAnsi="Arial Narrow" w:cs="Arial Narrow"/>
              </w:rPr>
            </w:pPr>
            <w:r>
              <w:rPr>
                <w:rFonts w:ascii="Arial Narrow" w:eastAsia="Arial Narrow" w:hAnsi="Arial Narrow" w:cs="Arial Narrow"/>
              </w:rPr>
              <w:t>Inicio interventoría</w:t>
            </w:r>
          </w:p>
        </w:tc>
        <w:tc>
          <w:tcPr>
            <w:tcW w:w="1450" w:type="dxa"/>
            <w:vAlign w:val="center"/>
          </w:tcPr>
          <w:p w14:paraId="2F047882"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598FF202" w14:textId="77777777"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14:paraId="1A1045E5" w14:textId="77777777">
        <w:trPr>
          <w:trHeight w:val="272"/>
          <w:jc w:val="center"/>
        </w:trPr>
        <w:tc>
          <w:tcPr>
            <w:tcW w:w="5187" w:type="dxa"/>
            <w:vAlign w:val="center"/>
          </w:tcPr>
          <w:p w14:paraId="0CB18902" w14:textId="77777777" w:rsidR="00FF1F16" w:rsidRDefault="004A6500">
            <w:pPr>
              <w:rPr>
                <w:rFonts w:ascii="Arial Narrow" w:eastAsia="Arial Narrow" w:hAnsi="Arial Narrow" w:cs="Arial Narrow"/>
              </w:rPr>
            </w:pPr>
            <w:r>
              <w:rPr>
                <w:rFonts w:ascii="Arial Narrow" w:eastAsia="Arial Narrow" w:hAnsi="Arial Narrow" w:cs="Arial Narrow"/>
              </w:rPr>
              <w:t>Reinicio contrato 246 de 2026 (Tecnología SGCF, SGCR y SIU)</w:t>
            </w:r>
          </w:p>
        </w:tc>
        <w:tc>
          <w:tcPr>
            <w:tcW w:w="1450" w:type="dxa"/>
            <w:vAlign w:val="center"/>
          </w:tcPr>
          <w:p w14:paraId="11E1D252" w14:textId="77777777" w:rsidR="00FF1F16" w:rsidRDefault="004A6500">
            <w:pPr>
              <w:rPr>
                <w:rFonts w:ascii="Arial Narrow" w:eastAsia="Arial Narrow" w:hAnsi="Arial Narrow" w:cs="Arial Narrow"/>
              </w:rPr>
            </w:pPr>
            <w:r>
              <w:rPr>
                <w:rFonts w:ascii="Arial Narrow" w:eastAsia="Arial Narrow" w:hAnsi="Arial Narrow" w:cs="Arial Narrow"/>
              </w:rPr>
              <w:t>STTM</w:t>
            </w:r>
          </w:p>
        </w:tc>
        <w:tc>
          <w:tcPr>
            <w:tcW w:w="2776" w:type="dxa"/>
            <w:vAlign w:val="center"/>
          </w:tcPr>
          <w:p w14:paraId="1F4E4DED" w14:textId="77777777"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14:paraId="6CB7E41F" w14:textId="77777777">
        <w:trPr>
          <w:trHeight w:val="216"/>
          <w:jc w:val="center"/>
        </w:trPr>
        <w:tc>
          <w:tcPr>
            <w:tcW w:w="5187" w:type="dxa"/>
            <w:vAlign w:val="center"/>
          </w:tcPr>
          <w:p w14:paraId="7D561447" w14:textId="77777777" w:rsidR="00FF1F16" w:rsidRDefault="004A6500">
            <w:pPr>
              <w:rPr>
                <w:rFonts w:ascii="Arial Narrow" w:eastAsia="Arial Narrow" w:hAnsi="Arial Narrow" w:cs="Arial Narrow"/>
              </w:rPr>
            </w:pPr>
            <w:r>
              <w:rPr>
                <w:rFonts w:ascii="Arial Narrow" w:eastAsia="Arial Narrow" w:hAnsi="Arial Narrow" w:cs="Arial Narrow"/>
              </w:rPr>
              <w:t>Ejecución Contrato 246 de 2023</w:t>
            </w:r>
          </w:p>
        </w:tc>
        <w:tc>
          <w:tcPr>
            <w:tcW w:w="1450" w:type="dxa"/>
          </w:tcPr>
          <w:p w14:paraId="6A54E52F"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55E92832" w14:textId="77777777" w:rsidR="00FF1F16" w:rsidRDefault="004A6500">
            <w:pPr>
              <w:rPr>
                <w:rFonts w:ascii="Arial Narrow" w:eastAsia="Arial Narrow" w:hAnsi="Arial Narrow" w:cs="Arial Narrow"/>
              </w:rPr>
            </w:pPr>
            <w:r>
              <w:rPr>
                <w:rFonts w:ascii="Arial Narrow" w:eastAsia="Arial Narrow" w:hAnsi="Arial Narrow" w:cs="Arial Narrow"/>
              </w:rPr>
              <w:t xml:space="preserve">Julio - </w:t>
            </w:r>
            <w:proofErr w:type="gramStart"/>
            <w:r>
              <w:rPr>
                <w:rFonts w:ascii="Arial Narrow" w:eastAsia="Arial Narrow" w:hAnsi="Arial Narrow" w:cs="Arial Narrow"/>
              </w:rPr>
              <w:t>Diciembre</w:t>
            </w:r>
            <w:proofErr w:type="gramEnd"/>
            <w:r>
              <w:rPr>
                <w:rFonts w:ascii="Arial Narrow" w:eastAsia="Arial Narrow" w:hAnsi="Arial Narrow" w:cs="Arial Narrow"/>
              </w:rPr>
              <w:t xml:space="preserve"> de 2026</w:t>
            </w:r>
          </w:p>
        </w:tc>
      </w:tr>
      <w:tr w:rsidR="00FF1F16" w14:paraId="510745B3" w14:textId="77777777">
        <w:trPr>
          <w:trHeight w:val="13"/>
          <w:jc w:val="center"/>
        </w:trPr>
        <w:tc>
          <w:tcPr>
            <w:tcW w:w="5187" w:type="dxa"/>
            <w:vAlign w:val="center"/>
          </w:tcPr>
          <w:p w14:paraId="65B770EC" w14:textId="77777777" w:rsidR="00FF1F16" w:rsidRDefault="004A6500">
            <w:pPr>
              <w:rPr>
                <w:rFonts w:ascii="Arial Narrow" w:eastAsia="Arial Narrow" w:hAnsi="Arial Narrow" w:cs="Arial Narrow"/>
              </w:rPr>
            </w:pPr>
            <w:r>
              <w:rPr>
                <w:rFonts w:ascii="Arial Narrow" w:eastAsia="Arial Narrow" w:hAnsi="Arial Narrow" w:cs="Arial Narrow"/>
              </w:rPr>
              <w:t>Conformación del operador de recaudo</w:t>
            </w:r>
          </w:p>
        </w:tc>
        <w:tc>
          <w:tcPr>
            <w:tcW w:w="1450" w:type="dxa"/>
          </w:tcPr>
          <w:p w14:paraId="4973EAB8"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7F007EA4" w14:textId="77777777" w:rsidR="00FF1F16" w:rsidRDefault="004A6500">
            <w:pPr>
              <w:rPr>
                <w:rFonts w:ascii="Arial Narrow" w:eastAsia="Arial Narrow" w:hAnsi="Arial Narrow" w:cs="Arial Narrow"/>
              </w:rPr>
            </w:pPr>
            <w:r>
              <w:rPr>
                <w:rFonts w:ascii="Arial Narrow" w:eastAsia="Arial Narrow" w:hAnsi="Arial Narrow" w:cs="Arial Narrow"/>
              </w:rPr>
              <w:t>Octubre de 2026</w:t>
            </w:r>
          </w:p>
        </w:tc>
      </w:tr>
      <w:tr w:rsidR="00FF1F16" w14:paraId="2C5EEC4B" w14:textId="77777777">
        <w:trPr>
          <w:trHeight w:val="13"/>
          <w:jc w:val="center"/>
        </w:trPr>
        <w:tc>
          <w:tcPr>
            <w:tcW w:w="5187" w:type="dxa"/>
            <w:vAlign w:val="center"/>
          </w:tcPr>
          <w:p w14:paraId="1F09C211" w14:textId="77777777" w:rsidR="00FF1F16" w:rsidRDefault="004A6500">
            <w:pPr>
              <w:rPr>
                <w:rFonts w:ascii="Arial Narrow" w:eastAsia="Arial Narrow" w:hAnsi="Arial Narrow" w:cs="Arial Narrow"/>
              </w:rPr>
            </w:pPr>
            <w:r>
              <w:rPr>
                <w:rFonts w:ascii="Arial Narrow" w:eastAsia="Arial Narrow" w:hAnsi="Arial Narrow" w:cs="Arial Narrow"/>
              </w:rPr>
              <w:t>Funcionamiento SGCF- SGCR y SIU</w:t>
            </w:r>
          </w:p>
        </w:tc>
        <w:tc>
          <w:tcPr>
            <w:tcW w:w="1450" w:type="dxa"/>
          </w:tcPr>
          <w:p w14:paraId="5466B814"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03B0B00F" w14:textId="77777777" w:rsidR="00FF1F16" w:rsidRDefault="004A6500">
            <w:pPr>
              <w:rPr>
                <w:rFonts w:ascii="Arial Narrow" w:eastAsia="Arial Narrow" w:hAnsi="Arial Narrow" w:cs="Arial Narrow"/>
              </w:rPr>
            </w:pPr>
            <w:r>
              <w:rPr>
                <w:rFonts w:ascii="Arial Narrow" w:eastAsia="Arial Narrow" w:hAnsi="Arial Narrow" w:cs="Arial Narrow"/>
              </w:rPr>
              <w:t>Noviembre de 2026</w:t>
            </w:r>
          </w:p>
        </w:tc>
      </w:tr>
      <w:tr w:rsidR="00FF1F16" w14:paraId="4FC21650" w14:textId="77777777">
        <w:trPr>
          <w:trHeight w:val="13"/>
          <w:jc w:val="center"/>
        </w:trPr>
        <w:tc>
          <w:tcPr>
            <w:tcW w:w="5187" w:type="dxa"/>
            <w:vAlign w:val="center"/>
          </w:tcPr>
          <w:p w14:paraId="509BBF9A" w14:textId="77777777" w:rsidR="00FF1F16" w:rsidRDefault="004A6500">
            <w:pPr>
              <w:rPr>
                <w:rFonts w:ascii="Arial Narrow" w:eastAsia="Arial Narrow" w:hAnsi="Arial Narrow" w:cs="Arial Narrow"/>
              </w:rPr>
            </w:pPr>
            <w:r>
              <w:rPr>
                <w:rFonts w:ascii="Arial Narrow" w:eastAsia="Arial Narrow" w:hAnsi="Arial Narrow" w:cs="Arial Narrow"/>
              </w:rPr>
              <w:t xml:space="preserve">Certificación del 60% de las rutas con tecnología ITS, por parte de la interventoría y del STTM del funcionamiento de los sistemas </w:t>
            </w:r>
          </w:p>
        </w:tc>
        <w:tc>
          <w:tcPr>
            <w:tcW w:w="1450" w:type="dxa"/>
          </w:tcPr>
          <w:p w14:paraId="0212664B"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16EAFB94" w14:textId="77777777" w:rsidR="00FF1F16" w:rsidRDefault="004A6500">
            <w:pPr>
              <w:rPr>
                <w:rFonts w:ascii="Arial Narrow" w:eastAsia="Arial Narrow" w:hAnsi="Arial Narrow" w:cs="Arial Narrow"/>
              </w:rPr>
            </w:pPr>
            <w:r>
              <w:rPr>
                <w:rFonts w:ascii="Arial Narrow" w:eastAsia="Arial Narrow" w:hAnsi="Arial Narrow" w:cs="Arial Narrow"/>
              </w:rPr>
              <w:t>Diciembre de 2026</w:t>
            </w:r>
          </w:p>
        </w:tc>
      </w:tr>
      <w:tr w:rsidR="00FF1F16" w14:paraId="5674D674" w14:textId="77777777">
        <w:trPr>
          <w:trHeight w:val="13"/>
          <w:jc w:val="center"/>
        </w:trPr>
        <w:tc>
          <w:tcPr>
            <w:tcW w:w="5187" w:type="dxa"/>
            <w:vAlign w:val="center"/>
          </w:tcPr>
          <w:p w14:paraId="63DED8B9" w14:textId="77777777" w:rsidR="00FF1F16" w:rsidRDefault="004A6500">
            <w:pPr>
              <w:rPr>
                <w:rFonts w:ascii="Arial Narrow" w:eastAsia="Arial Narrow" w:hAnsi="Arial Narrow" w:cs="Arial Narrow"/>
              </w:rPr>
            </w:pPr>
            <w:r>
              <w:rPr>
                <w:rFonts w:ascii="Arial Narrow" w:eastAsia="Arial Narrow" w:hAnsi="Arial Narrow" w:cs="Arial Narrow"/>
              </w:rPr>
              <w:t xml:space="preserve">Certificación del 100% de las rutas con tecnología ITS, por parte de la interventoría y del STTM del funcionamiento de los sistemas </w:t>
            </w:r>
          </w:p>
        </w:tc>
        <w:tc>
          <w:tcPr>
            <w:tcW w:w="1450" w:type="dxa"/>
          </w:tcPr>
          <w:p w14:paraId="772D0CFE"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165859AC" w14:textId="77777777" w:rsidR="00FF1F16" w:rsidRDefault="004A6500">
            <w:pPr>
              <w:rPr>
                <w:rFonts w:ascii="Arial Narrow" w:eastAsia="Arial Narrow" w:hAnsi="Arial Narrow" w:cs="Arial Narrow"/>
              </w:rPr>
            </w:pPr>
            <w:proofErr w:type="gramStart"/>
            <w:r>
              <w:rPr>
                <w:rFonts w:ascii="Arial Narrow" w:eastAsia="Arial Narrow" w:hAnsi="Arial Narrow" w:cs="Arial Narrow"/>
              </w:rPr>
              <w:t>Mayo  de</w:t>
            </w:r>
            <w:proofErr w:type="gramEnd"/>
            <w:r>
              <w:rPr>
                <w:rFonts w:ascii="Arial Narrow" w:eastAsia="Arial Narrow" w:hAnsi="Arial Narrow" w:cs="Arial Narrow"/>
              </w:rPr>
              <w:t xml:space="preserve"> 2027</w:t>
            </w:r>
          </w:p>
        </w:tc>
      </w:tr>
    </w:tbl>
    <w:p w14:paraId="5B53F81B" w14:textId="77777777" w:rsidR="00FF1F16" w:rsidRDefault="00FF1F16">
      <w:pPr>
        <w:rPr>
          <w:rFonts w:ascii="Arial Narrow" w:eastAsia="Arial Narrow" w:hAnsi="Arial Narrow" w:cs="Arial Narrow"/>
          <w:color w:val="000000"/>
          <w:sz w:val="18"/>
          <w:szCs w:val="18"/>
        </w:rPr>
      </w:pPr>
    </w:p>
    <w:p w14:paraId="3F620717"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p>
    <w:tbl>
      <w:tblPr>
        <w:tblStyle w:val="a4"/>
        <w:tblW w:w="9255"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65"/>
        <w:gridCol w:w="1110"/>
        <w:gridCol w:w="2880"/>
      </w:tblGrid>
      <w:tr w:rsidR="00FF1F16" w14:paraId="274C2DB7" w14:textId="77777777">
        <w:tc>
          <w:tcPr>
            <w:tcW w:w="5265" w:type="dxa"/>
            <w:shd w:val="clear" w:color="auto" w:fill="E7E6E6"/>
          </w:tcPr>
          <w:p w14:paraId="2EB6CAAF"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Compromiso</w:t>
            </w:r>
          </w:p>
        </w:tc>
        <w:tc>
          <w:tcPr>
            <w:tcW w:w="1110" w:type="dxa"/>
            <w:shd w:val="clear" w:color="auto" w:fill="E7E6E6"/>
          </w:tcPr>
          <w:p w14:paraId="358A606F"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Responsable</w:t>
            </w:r>
          </w:p>
        </w:tc>
        <w:tc>
          <w:tcPr>
            <w:tcW w:w="2880" w:type="dxa"/>
            <w:shd w:val="clear" w:color="auto" w:fill="E7E6E6"/>
          </w:tcPr>
          <w:p w14:paraId="18A25965"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Nueva fecha</w:t>
            </w:r>
          </w:p>
        </w:tc>
      </w:tr>
      <w:tr w:rsidR="00FF1F16" w14:paraId="0E6262A3" w14:textId="77777777">
        <w:trPr>
          <w:trHeight w:val="517"/>
        </w:trPr>
        <w:tc>
          <w:tcPr>
            <w:tcW w:w="5265" w:type="dxa"/>
            <w:vAlign w:val="center"/>
          </w:tcPr>
          <w:p w14:paraId="30829DE6" w14:textId="77777777" w:rsidR="00FF1F16" w:rsidRDefault="004A6500">
            <w:pPr>
              <w:numPr>
                <w:ilvl w:val="0"/>
                <w:numId w:val="3"/>
              </w:numPr>
              <w:pBdr>
                <w:top w:val="nil"/>
                <w:left w:val="nil"/>
                <w:bottom w:val="nil"/>
                <w:right w:val="nil"/>
                <w:between w:val="nil"/>
              </w:pBdr>
              <w:spacing w:line="240" w:lineRule="auto"/>
              <w:ind w:left="306"/>
              <w:rPr>
                <w:rFonts w:ascii="Arial Narrow" w:eastAsia="Arial Narrow" w:hAnsi="Arial Narrow" w:cs="Arial Narrow"/>
                <w:color w:val="000000"/>
              </w:rPr>
            </w:pPr>
            <w:r>
              <w:rPr>
                <w:rFonts w:ascii="Arial Narrow" w:eastAsia="Arial Narrow" w:hAnsi="Arial Narrow" w:cs="Arial Narrow"/>
                <w:color w:val="000000"/>
              </w:rPr>
              <w:t>Cerrar técnica, legal y financieramente el contrato tecnológico.</w:t>
            </w:r>
          </w:p>
          <w:p w14:paraId="1DF040EC" w14:textId="77777777" w:rsidR="00FF1F16" w:rsidRDefault="00FF1F16">
            <w:pPr>
              <w:rPr>
                <w:rFonts w:ascii="Arial Narrow" w:eastAsia="Arial Narrow" w:hAnsi="Arial Narrow" w:cs="Arial Narrow"/>
              </w:rPr>
            </w:pPr>
          </w:p>
        </w:tc>
        <w:tc>
          <w:tcPr>
            <w:tcW w:w="1110" w:type="dxa"/>
            <w:vMerge w:val="restart"/>
            <w:vAlign w:val="center"/>
          </w:tcPr>
          <w:p w14:paraId="24F75256" w14:textId="77777777" w:rsidR="00FF1F16" w:rsidRDefault="004A6500">
            <w:pPr>
              <w:jc w:val="center"/>
              <w:rPr>
                <w:rFonts w:ascii="Arial Narrow" w:eastAsia="Arial Narrow" w:hAnsi="Arial Narrow" w:cs="Arial Narrow"/>
              </w:rPr>
            </w:pPr>
            <w:r>
              <w:rPr>
                <w:rFonts w:ascii="Arial Narrow" w:eastAsia="Arial Narrow" w:hAnsi="Arial Narrow" w:cs="Arial Narrow"/>
              </w:rPr>
              <w:t>Ente Gestor</w:t>
            </w:r>
          </w:p>
        </w:tc>
        <w:tc>
          <w:tcPr>
            <w:tcW w:w="2880" w:type="dxa"/>
            <w:vAlign w:val="center"/>
          </w:tcPr>
          <w:p w14:paraId="3F1E7459" w14:textId="77777777" w:rsidR="00FF1F16" w:rsidRDefault="004A6500">
            <w:pPr>
              <w:jc w:val="center"/>
              <w:rPr>
                <w:rFonts w:ascii="Arial Narrow" w:eastAsia="Arial Narrow" w:hAnsi="Arial Narrow" w:cs="Arial Narrow"/>
              </w:rPr>
            </w:pPr>
            <w:r>
              <w:rPr>
                <w:rFonts w:ascii="Arial Narrow" w:eastAsia="Arial Narrow" w:hAnsi="Arial Narrow" w:cs="Arial Narrow"/>
              </w:rPr>
              <w:t>Mayo 2027</w:t>
            </w:r>
          </w:p>
        </w:tc>
      </w:tr>
      <w:tr w:rsidR="00FF1F16" w14:paraId="37C17677" w14:textId="77777777">
        <w:trPr>
          <w:trHeight w:val="562"/>
        </w:trPr>
        <w:tc>
          <w:tcPr>
            <w:tcW w:w="5265" w:type="dxa"/>
          </w:tcPr>
          <w:p w14:paraId="6F6EB4B2" w14:textId="77777777" w:rsidR="00FF1F16" w:rsidRDefault="004A6500">
            <w:pPr>
              <w:numPr>
                <w:ilvl w:val="0"/>
                <w:numId w:val="3"/>
              </w:numPr>
              <w:pBdr>
                <w:top w:val="nil"/>
                <w:left w:val="nil"/>
                <w:bottom w:val="nil"/>
                <w:right w:val="nil"/>
                <w:between w:val="nil"/>
              </w:pBdr>
              <w:spacing w:line="240" w:lineRule="auto"/>
              <w:ind w:left="306"/>
              <w:rPr>
                <w:rFonts w:ascii="Arial Narrow" w:eastAsia="Arial Narrow" w:hAnsi="Arial Narrow" w:cs="Arial Narrow"/>
                <w:color w:val="000000"/>
              </w:rPr>
            </w:pPr>
            <w:r>
              <w:rPr>
                <w:rFonts w:ascii="Arial Narrow" w:eastAsia="Arial Narrow" w:hAnsi="Arial Narrow" w:cs="Arial Narrow"/>
                <w:color w:val="000000"/>
              </w:rPr>
              <w:t>Garantizar la instalación del 60% de la tecnología de recaudo y el funcionamiento del SGCF.</w:t>
            </w:r>
          </w:p>
          <w:p w14:paraId="0516F453" w14:textId="77777777" w:rsidR="00FF1F16" w:rsidRDefault="00FF1F16">
            <w:pPr>
              <w:ind w:left="306"/>
              <w:rPr>
                <w:rFonts w:ascii="Arial Narrow" w:eastAsia="Arial Narrow" w:hAnsi="Arial Narrow" w:cs="Arial Narrow"/>
                <w:color w:val="000000"/>
              </w:rPr>
            </w:pPr>
          </w:p>
        </w:tc>
        <w:tc>
          <w:tcPr>
            <w:tcW w:w="1110" w:type="dxa"/>
            <w:vMerge/>
            <w:vAlign w:val="center"/>
          </w:tcPr>
          <w:p w14:paraId="5CA7B7BE" w14:textId="77777777" w:rsidR="00FF1F16" w:rsidRDefault="00FF1F16">
            <w:pPr>
              <w:widowControl w:val="0"/>
              <w:pBdr>
                <w:top w:val="nil"/>
                <w:left w:val="nil"/>
                <w:bottom w:val="nil"/>
                <w:right w:val="nil"/>
                <w:between w:val="nil"/>
              </w:pBdr>
              <w:rPr>
                <w:rFonts w:ascii="Arial Narrow" w:eastAsia="Arial Narrow" w:hAnsi="Arial Narrow" w:cs="Arial Narrow"/>
                <w:color w:val="000000"/>
                <w:sz w:val="20"/>
                <w:szCs w:val="20"/>
              </w:rPr>
            </w:pPr>
          </w:p>
        </w:tc>
        <w:tc>
          <w:tcPr>
            <w:tcW w:w="2880" w:type="dxa"/>
            <w:vAlign w:val="center"/>
          </w:tcPr>
          <w:p w14:paraId="2940D894" w14:textId="77777777" w:rsidR="00FF1F16" w:rsidRDefault="004A6500">
            <w:pPr>
              <w:jc w:val="center"/>
              <w:rPr>
                <w:rFonts w:ascii="Arial Narrow" w:eastAsia="Arial Narrow" w:hAnsi="Arial Narrow" w:cs="Arial Narrow"/>
              </w:rPr>
            </w:pPr>
            <w:proofErr w:type="gramStart"/>
            <w:r>
              <w:rPr>
                <w:rFonts w:ascii="Arial Narrow" w:eastAsia="Arial Narrow" w:hAnsi="Arial Narrow" w:cs="Arial Narrow"/>
              </w:rPr>
              <w:t>Diciembre  2026</w:t>
            </w:r>
            <w:proofErr w:type="gramEnd"/>
          </w:p>
        </w:tc>
      </w:tr>
      <w:tr w:rsidR="00FF1F16" w14:paraId="2AD308FE" w14:textId="77777777">
        <w:tc>
          <w:tcPr>
            <w:tcW w:w="5265" w:type="dxa"/>
          </w:tcPr>
          <w:p w14:paraId="13EA7EC3" w14:textId="77777777" w:rsidR="00FF1F16" w:rsidRDefault="004A6500">
            <w:pPr>
              <w:numPr>
                <w:ilvl w:val="0"/>
                <w:numId w:val="3"/>
              </w:numPr>
              <w:pBdr>
                <w:top w:val="nil"/>
                <w:left w:val="nil"/>
                <w:bottom w:val="nil"/>
                <w:right w:val="nil"/>
                <w:between w:val="nil"/>
              </w:pBdr>
              <w:spacing w:line="240" w:lineRule="auto"/>
              <w:ind w:left="306"/>
              <w:rPr>
                <w:rFonts w:ascii="Arial Narrow" w:eastAsia="Arial Narrow" w:hAnsi="Arial Narrow" w:cs="Arial Narrow"/>
                <w:color w:val="000000"/>
              </w:rPr>
            </w:pPr>
            <w:r>
              <w:rPr>
                <w:rFonts w:ascii="Arial Narrow" w:eastAsia="Arial Narrow" w:hAnsi="Arial Narrow" w:cs="Arial Narrow"/>
                <w:color w:val="000000"/>
              </w:rPr>
              <w:t>Garantizar la instalación del 100% de la tecnología de recaudo.</w:t>
            </w:r>
          </w:p>
          <w:p w14:paraId="260DB5EA" w14:textId="77777777" w:rsidR="00FF1F16" w:rsidRDefault="00FF1F16">
            <w:pPr>
              <w:pBdr>
                <w:top w:val="nil"/>
                <w:left w:val="nil"/>
                <w:bottom w:val="nil"/>
                <w:right w:val="nil"/>
                <w:between w:val="nil"/>
              </w:pBdr>
              <w:spacing w:line="240" w:lineRule="auto"/>
              <w:ind w:left="306"/>
              <w:rPr>
                <w:rFonts w:ascii="Arial Narrow" w:eastAsia="Arial Narrow" w:hAnsi="Arial Narrow" w:cs="Arial Narrow"/>
                <w:color w:val="000000"/>
              </w:rPr>
            </w:pPr>
          </w:p>
        </w:tc>
        <w:tc>
          <w:tcPr>
            <w:tcW w:w="1110" w:type="dxa"/>
            <w:vMerge/>
            <w:vAlign w:val="center"/>
          </w:tcPr>
          <w:p w14:paraId="770898E3" w14:textId="77777777" w:rsidR="00FF1F16" w:rsidRDefault="00FF1F16">
            <w:pPr>
              <w:widowControl w:val="0"/>
              <w:pBdr>
                <w:top w:val="nil"/>
                <w:left w:val="nil"/>
                <w:bottom w:val="nil"/>
                <w:right w:val="nil"/>
                <w:between w:val="nil"/>
              </w:pBdr>
              <w:rPr>
                <w:rFonts w:ascii="Arial Narrow" w:eastAsia="Arial Narrow" w:hAnsi="Arial Narrow" w:cs="Arial Narrow"/>
                <w:color w:val="000000"/>
                <w:sz w:val="20"/>
                <w:szCs w:val="20"/>
              </w:rPr>
            </w:pPr>
          </w:p>
        </w:tc>
        <w:tc>
          <w:tcPr>
            <w:tcW w:w="2880" w:type="dxa"/>
            <w:vAlign w:val="center"/>
          </w:tcPr>
          <w:p w14:paraId="1FDE363A" w14:textId="77777777" w:rsidR="00FF1F16" w:rsidRDefault="004A6500">
            <w:pPr>
              <w:jc w:val="center"/>
              <w:rPr>
                <w:rFonts w:ascii="Arial Narrow" w:eastAsia="Arial Narrow" w:hAnsi="Arial Narrow" w:cs="Arial Narrow"/>
              </w:rPr>
            </w:pPr>
            <w:proofErr w:type="gramStart"/>
            <w:r>
              <w:rPr>
                <w:rFonts w:ascii="Arial Narrow" w:eastAsia="Arial Narrow" w:hAnsi="Arial Narrow" w:cs="Arial Narrow"/>
              </w:rPr>
              <w:t>Mayo  2027</w:t>
            </w:r>
            <w:proofErr w:type="gramEnd"/>
          </w:p>
        </w:tc>
      </w:tr>
    </w:tbl>
    <w:p w14:paraId="7D0CBB68" w14:textId="77777777" w:rsidR="00FF1F16" w:rsidRDefault="00FF1F16">
      <w:pPr>
        <w:rPr>
          <w:rFonts w:ascii="Arial Narrow" w:eastAsia="Arial Narrow" w:hAnsi="Arial Narrow" w:cs="Arial Narrow"/>
        </w:rPr>
      </w:pPr>
    </w:p>
    <w:p w14:paraId="6C7E7B64" w14:textId="77777777" w:rsidR="00FF1F16" w:rsidRDefault="00FF1F16">
      <w:pPr>
        <w:rPr>
          <w:rFonts w:ascii="Arial Narrow" w:eastAsia="Arial Narrow" w:hAnsi="Arial Narrow" w:cs="Arial Narrow"/>
        </w:rPr>
      </w:pPr>
    </w:p>
    <w:p w14:paraId="4B5099D9" w14:textId="77777777" w:rsidR="00FF1F16" w:rsidRDefault="00FF1F16">
      <w:pPr>
        <w:rPr>
          <w:rFonts w:ascii="Arial Narrow" w:eastAsia="Arial Narrow" w:hAnsi="Arial Narrow" w:cs="Arial Narrow"/>
        </w:rPr>
      </w:pPr>
    </w:p>
    <w:p w14:paraId="6E2AF0AC" w14:textId="77777777" w:rsidR="00FF1F16" w:rsidRDefault="00FF1F16">
      <w:pPr>
        <w:rPr>
          <w:rFonts w:ascii="Arial Narrow" w:eastAsia="Arial Narrow" w:hAnsi="Arial Narrow" w:cs="Arial Narrow"/>
          <w:color w:val="000000"/>
          <w:sz w:val="18"/>
          <w:szCs w:val="18"/>
        </w:rPr>
      </w:pPr>
    </w:p>
    <w:p w14:paraId="005FE455" w14:textId="77777777" w:rsidR="00FF1F16" w:rsidRDefault="004A6500">
      <w:pPr>
        <w:numPr>
          <w:ilvl w:val="0"/>
          <w:numId w:val="2"/>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lastRenderedPageBreak/>
        <w:t>REDISTRIBUCIÓN DE COMPONENTES DE INFRAESTRUCTURA</w:t>
      </w:r>
      <w:r>
        <w:rPr>
          <w:rFonts w:ascii="Arial Narrow" w:eastAsia="Arial Narrow" w:hAnsi="Arial Narrow" w:cs="Arial Narrow"/>
          <w:color w:val="000000"/>
          <w:sz w:val="24"/>
          <w:szCs w:val="24"/>
        </w:rPr>
        <w:t>.</w:t>
      </w:r>
    </w:p>
    <w:p w14:paraId="79C74F71" w14:textId="77777777" w:rsidR="00FF1F16" w:rsidRDefault="00FF1F16">
      <w:pPr>
        <w:rPr>
          <w:rFonts w:ascii="Arial Narrow" w:eastAsia="Arial Narrow" w:hAnsi="Arial Narrow" w:cs="Arial Narrow"/>
          <w:color w:val="000000"/>
          <w:sz w:val="24"/>
          <w:szCs w:val="24"/>
        </w:rPr>
      </w:pPr>
    </w:p>
    <w:p w14:paraId="6E3F9597"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Redistribuir los recursos del convenio de cofinanciación orientados hacia las necesidades prioritarias para la puesta en operación del sistema, en el marco del convenio de cofinanciación.</w:t>
      </w:r>
    </w:p>
    <w:p w14:paraId="185AAD88"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Ente Gestor/Ministerio de Transporte</w:t>
      </w:r>
    </w:p>
    <w:p w14:paraId="69BFEEA1"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Una vez se realice la firma del acuerdo entre las partes.</w:t>
      </w:r>
    </w:p>
    <w:p w14:paraId="0332877C" w14:textId="77777777" w:rsidR="00FF1F16" w:rsidRDefault="00FF1F16">
      <w:pPr>
        <w:rPr>
          <w:rFonts w:ascii="Arial Narrow" w:eastAsia="Arial Narrow" w:hAnsi="Arial Narrow" w:cs="Arial Narrow"/>
          <w:sz w:val="24"/>
          <w:szCs w:val="24"/>
        </w:rPr>
      </w:pPr>
    </w:p>
    <w:p w14:paraId="4484503A" w14:textId="77777777"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14:paraId="2306930C" w14:textId="77777777" w:rsidR="00FF1F16" w:rsidRDefault="00FF1F16">
      <w:pPr>
        <w:rPr>
          <w:rFonts w:ascii="Arial Narrow" w:eastAsia="Arial Narrow" w:hAnsi="Arial Narrow" w:cs="Arial Narrow"/>
          <w:sz w:val="24"/>
          <w:szCs w:val="24"/>
          <w:u w:val="single"/>
        </w:rPr>
      </w:pPr>
    </w:p>
    <w:p w14:paraId="4E43F2E6"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Como antecedente se tiene que el ente Gestor desarrolló “in </w:t>
      </w:r>
      <w:proofErr w:type="spellStart"/>
      <w:r>
        <w:rPr>
          <w:rFonts w:ascii="Arial Narrow" w:eastAsia="Arial Narrow" w:hAnsi="Arial Narrow" w:cs="Arial Narrow"/>
          <w:sz w:val="24"/>
          <w:szCs w:val="24"/>
        </w:rPr>
        <w:t>house</w:t>
      </w:r>
      <w:proofErr w:type="spellEnd"/>
      <w:r>
        <w:rPr>
          <w:rFonts w:ascii="Arial Narrow" w:eastAsia="Arial Narrow" w:hAnsi="Arial Narrow" w:cs="Arial Narrow"/>
          <w:sz w:val="24"/>
          <w:szCs w:val="24"/>
        </w:rPr>
        <w:t>” la Estructuración Técnica, Legal y Financiera (ETLF),  la cual recibió concepto favorable por parte del Departamento Nacional de Planeación (DNP) mediante oficio radicado 20195280260231 del 2 de mayo de 2019,  concepto asociado a los estudios para la implementación del Sistema Estratégico de Transporte Público de Pasajeros de Popayán (SETP), los cuales comprenden, el modelo de operación, la infraestructura física y tecnológica de apoyo, así como su modelo jurídico y financiero; todo ello en cumplimiento del Decreto 1079 de 2015.</w:t>
      </w:r>
    </w:p>
    <w:p w14:paraId="1FCA3C98" w14:textId="77777777" w:rsidR="00FF1F16" w:rsidRDefault="00FF1F16">
      <w:pPr>
        <w:jc w:val="both"/>
        <w:rPr>
          <w:rFonts w:ascii="Arial Narrow" w:eastAsia="Arial Narrow" w:hAnsi="Arial Narrow" w:cs="Arial Narrow"/>
          <w:sz w:val="24"/>
          <w:szCs w:val="24"/>
        </w:rPr>
      </w:pPr>
    </w:p>
    <w:p w14:paraId="2C83614C"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Desde el punto de vista técnico, en la ETLF consideró la necesidad de la construcción de infraestructura de apoyo:  dos Estaciones de integración (norte y occidente) y dos Patios y Talleres (norte y occidente), donde la entidad cuenta con los diseños al detalle de cada uno de ellos, dimensionados sobre los lotes adquiridos en el año 2018 bajo escrituras No. No.2133, 5371 y 1958. </w:t>
      </w:r>
    </w:p>
    <w:p w14:paraId="47385E6D" w14:textId="77777777" w:rsidR="00FF1F16" w:rsidRDefault="00FF1F16">
      <w:pPr>
        <w:jc w:val="both"/>
        <w:rPr>
          <w:rFonts w:ascii="Arial Narrow" w:eastAsia="Arial Narrow" w:hAnsi="Arial Narrow" w:cs="Arial Narrow"/>
          <w:sz w:val="24"/>
          <w:szCs w:val="24"/>
        </w:rPr>
      </w:pPr>
    </w:p>
    <w:p w14:paraId="588B4FD1" w14:textId="77777777" w:rsidR="00FF1F16" w:rsidRDefault="004A6500">
      <w:pPr>
        <w:ind w:left="566" w:right="892"/>
        <w:jc w:val="both"/>
        <w:rPr>
          <w:rFonts w:ascii="Arial Narrow" w:eastAsia="Arial Narrow" w:hAnsi="Arial Narrow" w:cs="Arial Narrow"/>
          <w:i/>
          <w:iCs/>
          <w:sz w:val="24"/>
          <w:szCs w:val="24"/>
        </w:rPr>
      </w:pPr>
      <w:r>
        <w:rPr>
          <w:rFonts w:ascii="Arial Narrow" w:eastAsia="Arial Narrow" w:hAnsi="Arial Narrow" w:cs="Arial Narrow"/>
          <w:sz w:val="24"/>
          <w:szCs w:val="24"/>
        </w:rPr>
        <w:t xml:space="preserve">Estudios y diseños de las estaciones de integración se realizaron bajo el contrato de consultoría No. 221 de 2020 con el objeto: </w:t>
      </w:r>
      <w:r>
        <w:rPr>
          <w:rFonts w:ascii="Arial Narrow" w:eastAsia="Arial Narrow" w:hAnsi="Arial Narrow" w:cs="Arial Narrow"/>
          <w:i/>
          <w:iCs/>
          <w:sz w:val="24"/>
          <w:szCs w:val="24"/>
        </w:rPr>
        <w:t>“EL CONTRATISTA SE OBLIGA PARA CON MOVILIDAD FUTURA S.A.S. A REALIZAR LOS ESTUDIOS Y DISEÑOS DE ELEMENTOS DE INFRAESTRUCTURA DEL SETP - POPAYÁN: ESTACIÓN DE INTEGRACIÓN NORTE, ESTACIÓN DE INTEGRACIÓN OCCIDENTE, PARADERO CON ESPACIO PÚBLICO DEL SUR Y CONEXIONES VIALES ASOCIADAS, QUE PERMITIRÁN MEDIANTE LA INFRAESTRUCTURA ADECUADA LA INTERACCIÓN DE LOS DIFERENTES MODOS DE TRANSPORTE EN LA CIUDAD, EN PUNTOS ESTRATÉGICOS.”</w:t>
      </w:r>
    </w:p>
    <w:p w14:paraId="7381E50E" w14:textId="77777777" w:rsidR="00FF1F16" w:rsidRDefault="00FF1F16">
      <w:pPr>
        <w:ind w:left="566" w:right="892"/>
        <w:jc w:val="both"/>
        <w:rPr>
          <w:rFonts w:ascii="Arial Narrow" w:eastAsia="Arial Narrow" w:hAnsi="Arial Narrow" w:cs="Arial Narrow"/>
          <w:i/>
          <w:iCs/>
          <w:sz w:val="24"/>
          <w:szCs w:val="24"/>
        </w:rPr>
      </w:pPr>
    </w:p>
    <w:p w14:paraId="593D4C03" w14:textId="77777777" w:rsidR="00FF1F16" w:rsidRDefault="004A6500">
      <w:pPr>
        <w:ind w:left="566" w:right="892"/>
        <w:jc w:val="both"/>
        <w:rPr>
          <w:rFonts w:ascii="Arial Narrow" w:eastAsia="Arial Narrow" w:hAnsi="Arial Narrow" w:cs="Arial Narrow"/>
          <w:i/>
          <w:iCs/>
          <w:sz w:val="24"/>
          <w:szCs w:val="24"/>
        </w:rPr>
      </w:pPr>
      <w:r>
        <w:rPr>
          <w:rFonts w:ascii="Arial Narrow" w:eastAsia="Arial Narrow" w:hAnsi="Arial Narrow" w:cs="Arial Narrow"/>
          <w:sz w:val="24"/>
          <w:szCs w:val="24"/>
        </w:rPr>
        <w:t>Estudios y diseños de los patios se ejecutaron mediante el contrato No. 072 de 2021 cuyo objeto “</w:t>
      </w:r>
      <w:r>
        <w:rPr>
          <w:rFonts w:ascii="Arial Narrow" w:eastAsia="Arial Narrow" w:hAnsi="Arial Narrow" w:cs="Arial Narrow"/>
          <w:i/>
          <w:iCs/>
          <w:sz w:val="24"/>
          <w:szCs w:val="24"/>
        </w:rPr>
        <w:t xml:space="preserve">REALIZAR LOS ESTUDIOS Y DISEÑOS DE LA INFRAESTRUCTURA BÁSICA DEL SETP - POPAYÁN: PATIO y TALLER NORTE, PATIO y TALLER OCCIDENTE Y ÁREAS ASOCIADAS COMO CENTROS DE OPERACIÓN, ZONA DE MANTENIMIENTО, ALISTAMIENTO, PARQUEO DE LA FLOTA, QUE PERMITIRÁN LA OPTIMIZACIÓN DE LOS CICLOS DE PRODUCCIÓN Y OPERACIÓN DE LOS SERVICIOS DEL SISTEMA </w:t>
      </w:r>
      <w:r>
        <w:rPr>
          <w:rFonts w:ascii="Arial Narrow" w:eastAsia="Arial Narrow" w:hAnsi="Arial Narrow" w:cs="Arial Narrow"/>
          <w:i/>
          <w:iCs/>
          <w:sz w:val="24"/>
          <w:szCs w:val="24"/>
        </w:rPr>
        <w:lastRenderedPageBreak/>
        <w:t>ESTRATÉGICO DE TRANSPORTE PÚBLICO EN LA CIUDAD DE POPAYÁN Y SUS CONEXIONES VIALES ASOCIADAS”</w:t>
      </w:r>
    </w:p>
    <w:p w14:paraId="1F99E7BB" w14:textId="77777777" w:rsidR="00FF1F16" w:rsidRDefault="00FF1F16">
      <w:pPr>
        <w:jc w:val="both"/>
        <w:rPr>
          <w:rFonts w:ascii="Arial Narrow" w:eastAsia="Arial Narrow" w:hAnsi="Arial Narrow" w:cs="Arial Narrow"/>
          <w:sz w:val="24"/>
          <w:szCs w:val="24"/>
        </w:rPr>
      </w:pPr>
    </w:p>
    <w:p w14:paraId="6E5BC633"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Los anteriores serán soportes técnicos para aplicar a la redistribución.</w:t>
      </w:r>
    </w:p>
    <w:p w14:paraId="51CF877D" w14:textId="77777777" w:rsidR="00FF1F16" w:rsidRDefault="00FF1F16">
      <w:pPr>
        <w:jc w:val="both"/>
        <w:rPr>
          <w:rFonts w:ascii="Arial Narrow" w:eastAsia="Arial Narrow" w:hAnsi="Arial Narrow" w:cs="Arial Narrow"/>
          <w:sz w:val="24"/>
          <w:szCs w:val="24"/>
        </w:rPr>
      </w:pPr>
    </w:p>
    <w:p w14:paraId="218DB515" w14:textId="77777777" w:rsidR="00FF1F16" w:rsidRDefault="00FF1F16">
      <w:pPr>
        <w:jc w:val="both"/>
        <w:rPr>
          <w:rFonts w:ascii="Arial Narrow" w:eastAsia="Arial Narrow" w:hAnsi="Arial Narrow" w:cs="Arial Narrow"/>
          <w:sz w:val="24"/>
          <w:szCs w:val="24"/>
        </w:rPr>
      </w:pPr>
    </w:p>
    <w:p w14:paraId="5468A4F8"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En el año 2025 adelantó las gestiones para la viabilidad de cerramientos de los lotes de la estación de integración Occidente y el </w:t>
      </w:r>
      <w:proofErr w:type="spellStart"/>
      <w:r>
        <w:rPr>
          <w:rFonts w:ascii="Arial Narrow" w:eastAsia="Arial Narrow" w:hAnsi="Arial Narrow" w:cs="Arial Narrow"/>
          <w:sz w:val="24"/>
          <w:szCs w:val="24"/>
        </w:rPr>
        <w:t>PAtio</w:t>
      </w:r>
      <w:proofErr w:type="spellEnd"/>
      <w:r>
        <w:rPr>
          <w:rFonts w:ascii="Arial Narrow" w:eastAsia="Arial Narrow" w:hAnsi="Arial Narrow" w:cs="Arial Narrow"/>
          <w:sz w:val="24"/>
          <w:szCs w:val="24"/>
        </w:rPr>
        <w:t xml:space="preserve"> y Taller </w:t>
      </w:r>
      <w:proofErr w:type="spellStart"/>
      <w:r>
        <w:rPr>
          <w:rFonts w:ascii="Arial Narrow" w:eastAsia="Arial Narrow" w:hAnsi="Arial Narrow" w:cs="Arial Narrow"/>
          <w:sz w:val="24"/>
          <w:szCs w:val="24"/>
        </w:rPr>
        <w:t>Noste</w:t>
      </w:r>
      <w:proofErr w:type="spellEnd"/>
      <w:r>
        <w:rPr>
          <w:rFonts w:ascii="Arial Narrow" w:eastAsia="Arial Narrow" w:hAnsi="Arial Narrow" w:cs="Arial Narrow"/>
          <w:sz w:val="24"/>
          <w:szCs w:val="24"/>
        </w:rPr>
        <w:t xml:space="preserve"> con recursos municipio debido a </w:t>
      </w:r>
    </w:p>
    <w:p w14:paraId="4D8D9CBA"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4CC27538"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Durante el año 2025, la entidad radicó ante el Gobierno Nacional diversas propuestas para la reprogramación de sus recursos. Finalmente, se viabilizó la redistribución de componentes destinada a la construcción de la Estación de Integración Occidente y a la adquisición de material rodante. Con esta reprogramación de recursos dio también, la viabilidad para la firma del Otrosí No. 6 del Convenio de Cofinanciación que </w:t>
      </w:r>
      <w:proofErr w:type="spellStart"/>
      <w:r>
        <w:rPr>
          <w:rFonts w:ascii="Arial Narrow" w:eastAsia="Arial Narrow" w:hAnsi="Arial Narrow" w:cs="Arial Narrow"/>
          <w:sz w:val="24"/>
          <w:szCs w:val="24"/>
        </w:rPr>
        <w:t>extendio</w:t>
      </w:r>
      <w:proofErr w:type="spellEnd"/>
      <w:r>
        <w:rPr>
          <w:rFonts w:ascii="Arial Narrow" w:eastAsia="Arial Narrow" w:hAnsi="Arial Narrow" w:cs="Arial Narrow"/>
          <w:sz w:val="24"/>
          <w:szCs w:val="24"/>
        </w:rPr>
        <w:t xml:space="preserve"> la vida para la ejecución del proyecto hasta el año 2029, de acuerdo con la siguiente senda presupuestal:</w:t>
      </w:r>
    </w:p>
    <w:p w14:paraId="5B17C387" w14:textId="77777777" w:rsidR="00FF1F16" w:rsidRDefault="00FF1F16">
      <w:pPr>
        <w:jc w:val="both"/>
        <w:rPr>
          <w:rFonts w:ascii="Arial Narrow" w:eastAsia="Arial Narrow" w:hAnsi="Arial Narrow" w:cs="Arial Narrow"/>
          <w:sz w:val="24"/>
          <w:szCs w:val="24"/>
        </w:rPr>
      </w:pPr>
    </w:p>
    <w:p w14:paraId="39B4F83F"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noProof/>
          <w:sz w:val="24"/>
          <w:szCs w:val="24"/>
        </w:rPr>
        <w:drawing>
          <wp:inline distT="114300" distB="114300" distL="114300" distR="114300" wp14:anchorId="7F300527" wp14:editId="7042ABB1">
            <wp:extent cx="5882005" cy="1866900"/>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882005" cy="1866900"/>
                    </a:xfrm>
                    <a:prstGeom prst="rect">
                      <a:avLst/>
                    </a:prstGeom>
                    <a:ln/>
                  </pic:spPr>
                </pic:pic>
              </a:graphicData>
            </a:graphic>
          </wp:inline>
        </w:drawing>
      </w:r>
    </w:p>
    <w:p w14:paraId="6EA4596F" w14:textId="77777777" w:rsidR="00FF1F16" w:rsidRDefault="00FF1F16">
      <w:pPr>
        <w:jc w:val="both"/>
        <w:rPr>
          <w:rFonts w:ascii="Arial Narrow" w:eastAsia="Arial Narrow" w:hAnsi="Arial Narrow" w:cs="Arial Narrow"/>
          <w:sz w:val="24"/>
          <w:szCs w:val="24"/>
        </w:rPr>
      </w:pPr>
    </w:p>
    <w:p w14:paraId="3207DB48"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7274189E" w14:textId="77777777" w:rsidR="00FF1F16" w:rsidRDefault="004A6500">
      <w:pPr>
        <w:spacing w:before="240" w:after="240"/>
        <w:jc w:val="both"/>
        <w:rPr>
          <w:rFonts w:ascii="Arial Narrow" w:eastAsia="Arial Narrow" w:hAnsi="Arial Narrow" w:cs="Arial Narrow"/>
          <w:i/>
          <w:iCs/>
          <w:sz w:val="24"/>
          <w:szCs w:val="24"/>
        </w:rPr>
      </w:pPr>
      <w:r>
        <w:rPr>
          <w:rFonts w:ascii="Arial Narrow" w:eastAsia="Arial Narrow" w:hAnsi="Arial Narrow" w:cs="Arial Narrow"/>
          <w:b/>
          <w:bCs/>
          <w:sz w:val="24"/>
          <w:szCs w:val="24"/>
          <w:u w:val="single"/>
        </w:rPr>
        <w:t>Resultados obtenidos:</w:t>
      </w:r>
    </w:p>
    <w:p w14:paraId="6AE15FD4" w14:textId="77777777" w:rsidR="00FF1F16" w:rsidRDefault="004A6500">
      <w:pPr>
        <w:numPr>
          <w:ilvl w:val="0"/>
          <w:numId w:val="6"/>
        </w:numPr>
        <w:jc w:val="both"/>
        <w:rPr>
          <w:rFonts w:ascii="Arial Narrow" w:eastAsia="Arial Narrow" w:hAnsi="Arial Narrow" w:cs="Arial Narrow"/>
          <w:sz w:val="24"/>
          <w:szCs w:val="24"/>
        </w:rPr>
      </w:pPr>
      <w:r>
        <w:rPr>
          <w:rFonts w:ascii="Arial Narrow" w:eastAsia="Arial Narrow" w:hAnsi="Arial Narrow" w:cs="Arial Narrow"/>
          <w:sz w:val="24"/>
          <w:szCs w:val="24"/>
        </w:rPr>
        <w:t>Ampliación del Convenio de Cofinanciación hasta el año 2029.</w:t>
      </w:r>
    </w:p>
    <w:p w14:paraId="632640B9" w14:textId="77777777" w:rsidR="00FF1F16" w:rsidRDefault="004A6500">
      <w:pPr>
        <w:numPr>
          <w:ilvl w:val="0"/>
          <w:numId w:val="6"/>
        </w:numPr>
        <w:jc w:val="both"/>
        <w:rPr>
          <w:rFonts w:ascii="Arial Narrow" w:eastAsia="Arial Narrow" w:hAnsi="Arial Narrow" w:cs="Arial Narrow"/>
          <w:sz w:val="24"/>
          <w:szCs w:val="24"/>
        </w:rPr>
      </w:pPr>
      <w:r>
        <w:rPr>
          <w:rFonts w:ascii="Arial Narrow" w:eastAsia="Arial Narrow" w:hAnsi="Arial Narrow" w:cs="Arial Narrow"/>
          <w:sz w:val="24"/>
          <w:szCs w:val="24"/>
        </w:rPr>
        <w:t xml:space="preserve">Con base en los diseños definitivos y entregables disponibles de la Estación Occidente y Patio Note, se establece la viabilidad técnica, jurídica y financiera para ejecutar el cerramiento perimetral de los lotes, para lo cual, la entidad adelanta el proceso para la obra civil de los cerramientos. Esta intervención se define como una medida prioritaria de control para garantizar la protección, aseguramiento y preservación de los predios ya adquiridos. Asimismo, actúa como una acción preventiva definitiva frente a las problemáticas críticas actuales, tales como la ocupación ilegal, el </w:t>
      </w:r>
      <w:r>
        <w:rPr>
          <w:rFonts w:ascii="Arial Narrow" w:eastAsia="Arial Narrow" w:hAnsi="Arial Narrow" w:cs="Arial Narrow"/>
          <w:sz w:val="24"/>
          <w:szCs w:val="24"/>
        </w:rPr>
        <w:lastRenderedPageBreak/>
        <w:t xml:space="preserve">vandalismo, la disposición clandestina de residuos y escombros, y los focos de inseguridad asociados al consumo de sustancias estupefacientes. </w:t>
      </w:r>
    </w:p>
    <w:p w14:paraId="4D8DEB06" w14:textId="77777777" w:rsidR="00FF1F16" w:rsidRDefault="00FF1F16">
      <w:pPr>
        <w:jc w:val="both"/>
        <w:rPr>
          <w:rFonts w:ascii="Arial Narrow" w:eastAsia="Arial Narrow" w:hAnsi="Arial Narrow" w:cs="Arial Narrow"/>
          <w:sz w:val="24"/>
          <w:szCs w:val="24"/>
        </w:rPr>
      </w:pPr>
    </w:p>
    <w:p w14:paraId="587E1BA5"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Por otro lado, resulta indispensable el apoyo del Gobierno Nacional para adelantar los estudios de viabilidad y la definición técnica del material rodante de cero o bajas emisiones para la compra con recursos del Convenio de acuerdo a la reprogramación de recursos. Estos análisis servirán de soporte fundamental para sustentar la presentación de la propuesta de redistribución de componentes." </w:t>
      </w:r>
    </w:p>
    <w:p w14:paraId="78F77A4E" w14:textId="77777777" w:rsidR="00FF1F16" w:rsidRDefault="00FF1F16">
      <w:pPr>
        <w:jc w:val="both"/>
        <w:rPr>
          <w:rFonts w:ascii="Arial Narrow" w:eastAsia="Arial Narrow" w:hAnsi="Arial Narrow" w:cs="Arial Narrow"/>
          <w:sz w:val="24"/>
          <w:szCs w:val="24"/>
        </w:rPr>
      </w:pPr>
    </w:p>
    <w:p w14:paraId="491BFBB8"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Para el cumplimiento de la presentación de la redistribución se requiere el cumplimiento del artículo 172 de la Ley 2294 de 2023.</w:t>
      </w:r>
    </w:p>
    <w:p w14:paraId="5194A593" w14:textId="77777777" w:rsidR="00FF1F16" w:rsidRDefault="00FF1F16">
      <w:pPr>
        <w:rPr>
          <w:rFonts w:ascii="Arial Narrow" w:eastAsia="Arial Narrow" w:hAnsi="Arial Narrow" w:cs="Arial Narrow"/>
          <w:sz w:val="24"/>
          <w:szCs w:val="24"/>
        </w:rPr>
      </w:pPr>
    </w:p>
    <w:p w14:paraId="4EA0C92D" w14:textId="77777777" w:rsidR="00FF1F16" w:rsidRDefault="00FF1F16">
      <w:pPr>
        <w:rPr>
          <w:rFonts w:ascii="Arial Narrow" w:eastAsia="Arial Narrow" w:hAnsi="Arial Narrow" w:cs="Arial Narrow"/>
          <w:sz w:val="24"/>
          <w:szCs w:val="24"/>
        </w:rPr>
      </w:pPr>
    </w:p>
    <w:p w14:paraId="095295D9"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6. TERMINAR LA INFRAESTRUCTURA FÍSICA SETP</w:t>
      </w:r>
    </w:p>
    <w:p w14:paraId="404B58C9" w14:textId="77777777" w:rsidR="00FF1F16" w:rsidRDefault="004A6500">
      <w:pPr>
        <w:rPr>
          <w:rFonts w:ascii="Arial Narrow" w:eastAsia="Arial Narrow" w:hAnsi="Arial Narrow" w:cs="Arial Narrow"/>
          <w:color w:val="000000"/>
          <w:sz w:val="24"/>
          <w:szCs w:val="24"/>
        </w:rPr>
      </w:pPr>
      <w:bookmarkStart w:id="1" w:name="_heading=h.eoy32qijrf3h" w:colFirst="0" w:colLast="0"/>
      <w:bookmarkEnd w:id="1"/>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Terminar los procesos en curso: Patio y Taller Occidente.</w:t>
      </w:r>
    </w:p>
    <w:p w14:paraId="2599DE47"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w:t>
      </w:r>
    </w:p>
    <w:p w14:paraId="1AF119AB"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marzo 2026</w:t>
      </w:r>
    </w:p>
    <w:p w14:paraId="2E7280BA" w14:textId="77777777" w:rsidR="00FF1F16" w:rsidRDefault="00FF1F16">
      <w:pPr>
        <w:rPr>
          <w:rFonts w:ascii="Arial Narrow" w:eastAsia="Arial Narrow" w:hAnsi="Arial Narrow" w:cs="Arial Narrow"/>
          <w:b/>
          <w:bCs/>
          <w:sz w:val="24"/>
          <w:szCs w:val="24"/>
        </w:rPr>
      </w:pPr>
    </w:p>
    <w:p w14:paraId="79C11D9C" w14:textId="77777777"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14:paraId="0099D2CD"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para el </w:t>
      </w:r>
      <w:proofErr w:type="spellStart"/>
      <w:r>
        <w:rPr>
          <w:rFonts w:ascii="Arial Narrow" w:eastAsia="Arial Narrow" w:hAnsi="Arial Narrow" w:cs="Arial Narrow"/>
          <w:sz w:val="24"/>
          <w:szCs w:val="24"/>
        </w:rPr>
        <w:t>cumplimeinto</w:t>
      </w:r>
      <w:proofErr w:type="spellEnd"/>
      <w:r>
        <w:rPr>
          <w:rFonts w:ascii="Arial Narrow" w:eastAsia="Arial Narrow" w:hAnsi="Arial Narrow" w:cs="Arial Narrow"/>
          <w:sz w:val="24"/>
          <w:szCs w:val="24"/>
        </w:rPr>
        <w:t xml:space="preserve"> de las metas del proyecto de acuerdo a la ETLF del 2019, falta por ejecutar la estación de Integración Occidente y Patio y Taller Norte, entretanto, en </w:t>
      </w:r>
      <w:proofErr w:type="gramStart"/>
      <w:r>
        <w:rPr>
          <w:rFonts w:ascii="Arial Narrow" w:eastAsia="Arial Narrow" w:hAnsi="Arial Narrow" w:cs="Arial Narrow"/>
          <w:sz w:val="24"/>
          <w:szCs w:val="24"/>
        </w:rPr>
        <w:t>la obras</w:t>
      </w:r>
      <w:proofErr w:type="gramEnd"/>
      <w:r>
        <w:rPr>
          <w:rFonts w:ascii="Arial Narrow" w:eastAsia="Arial Narrow" w:hAnsi="Arial Narrow" w:cs="Arial Narrow"/>
          <w:sz w:val="24"/>
          <w:szCs w:val="24"/>
        </w:rPr>
        <w:t xml:space="preserve"> que están ejecución, el municipio de Popayán adelantó las gestiones técnicas, administrativas y presupuestales requeridas para garantizar la continuidad y culminación del proyecto</w:t>
      </w:r>
      <w:r>
        <w:rPr>
          <w:rFonts w:ascii="Arial Narrow" w:eastAsia="Arial Narrow" w:hAnsi="Arial Narrow" w:cs="Arial Narrow"/>
          <w:b/>
          <w:bCs/>
          <w:sz w:val="24"/>
          <w:szCs w:val="24"/>
        </w:rPr>
        <w:t xml:space="preserve"> Patio y Taller Occidente, </w:t>
      </w:r>
      <w:r>
        <w:rPr>
          <w:rFonts w:ascii="Arial Narrow" w:eastAsia="Arial Narrow" w:hAnsi="Arial Narrow" w:cs="Arial Narrow"/>
          <w:sz w:val="24"/>
          <w:szCs w:val="24"/>
        </w:rPr>
        <w:t>orientadas a asegurar los recursos necesarios para su puesta en funcionamiento y optimización.</w:t>
      </w:r>
    </w:p>
    <w:p w14:paraId="2838AFF5"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Como resultado de este proceso, en diciembre de 2025 la Junta Directiva No. 94 aprobó la modificación presupuestal requerida para incorporar los recursos adicionales (fuente municipio) destinados al proyecto, permitiendo estructurar las condiciones necesarias para la reactivación contractual correspondiente.</w:t>
      </w:r>
    </w:p>
    <w:p w14:paraId="21C3074C"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En desarrollo de esta gestión, durante enero de 2026 se materializó el reinicio de los contratos asociados al proyecto, acompañado de la suscripción de las adiciones y prórrogas requeridas para garantizar la continuidad de las obras y consolidar el cronograma y presupuesto actualizado de ejecución.</w:t>
      </w:r>
    </w:p>
    <w:p w14:paraId="51FBC3EA"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La información contractual que se presenta a continuación refleja el estado actualizado del proyecto, superando el escenario de suspensión previamente reportado y permitiendo avanzar en la ejecución de las actividades requeridas para la terminación de la infraestructura física asociada al SETP.</w:t>
      </w:r>
    </w:p>
    <w:p w14:paraId="4297CD46" w14:textId="77777777" w:rsidR="00FF1F16" w:rsidRDefault="00FF1F16">
      <w:pPr>
        <w:spacing w:before="240" w:after="240"/>
        <w:jc w:val="both"/>
        <w:rPr>
          <w:rFonts w:ascii="Arial Narrow" w:eastAsia="Arial Narrow" w:hAnsi="Arial Narrow" w:cs="Arial Narrow"/>
          <w:i/>
          <w:iCs/>
          <w:sz w:val="24"/>
          <w:szCs w:val="24"/>
        </w:rPr>
      </w:pPr>
    </w:p>
    <w:tbl>
      <w:tblPr>
        <w:tblStyle w:val="a5"/>
        <w:tblW w:w="829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95"/>
        <w:gridCol w:w="3195"/>
        <w:gridCol w:w="435"/>
        <w:gridCol w:w="480"/>
        <w:gridCol w:w="1680"/>
        <w:gridCol w:w="630"/>
        <w:gridCol w:w="780"/>
      </w:tblGrid>
      <w:tr w:rsidR="00FF1F16" w14:paraId="37F099A5" w14:textId="77777777">
        <w:trPr>
          <w:trHeight w:val="302"/>
        </w:trPr>
        <w:tc>
          <w:tcPr>
            <w:tcW w:w="8295" w:type="dxa"/>
            <w:gridSpan w:val="7"/>
            <w:tcBorders>
              <w:top w:val="single" w:sz="4" w:space="0" w:color="000000"/>
              <w:left w:val="single" w:sz="4" w:space="0" w:color="000000"/>
              <w:bottom w:val="single" w:sz="4" w:space="0" w:color="000000"/>
              <w:right w:val="single" w:sz="4" w:space="0" w:color="000000"/>
            </w:tcBorders>
            <w:shd w:val="clear" w:color="auto" w:fill="E7E6E6"/>
            <w:vAlign w:val="center"/>
          </w:tcPr>
          <w:p w14:paraId="54AACFB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DATOS CONTRATO</w:t>
            </w:r>
          </w:p>
        </w:tc>
      </w:tr>
      <w:tr w:rsidR="00FF1F16" w14:paraId="3E020387" w14:textId="77777777">
        <w:trPr>
          <w:trHeight w:val="22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24431ED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CONTRATO</w:t>
            </w:r>
          </w:p>
        </w:tc>
      </w:tr>
      <w:tr w:rsidR="00FF1F16" w14:paraId="7D2FB73D" w14:textId="77777777">
        <w:trPr>
          <w:trHeight w:val="303"/>
        </w:trPr>
        <w:tc>
          <w:tcPr>
            <w:tcW w:w="1095" w:type="dxa"/>
            <w:tcBorders>
              <w:top w:val="single" w:sz="4" w:space="0" w:color="000000"/>
              <w:left w:val="single" w:sz="4" w:space="0" w:color="000000"/>
              <w:bottom w:val="single" w:sz="4" w:space="0" w:color="000000"/>
              <w:right w:val="single" w:sz="4" w:space="0" w:color="000000"/>
            </w:tcBorders>
            <w:vAlign w:val="center"/>
          </w:tcPr>
          <w:p w14:paraId="6E4E3672"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Número:</w:t>
            </w:r>
          </w:p>
        </w:tc>
        <w:tc>
          <w:tcPr>
            <w:tcW w:w="3195" w:type="dxa"/>
            <w:tcBorders>
              <w:top w:val="single" w:sz="4" w:space="0" w:color="000000"/>
              <w:left w:val="single" w:sz="4" w:space="0" w:color="000000"/>
              <w:bottom w:val="single" w:sz="4" w:space="0" w:color="000000"/>
              <w:right w:val="single" w:sz="4" w:space="0" w:color="000000"/>
            </w:tcBorders>
            <w:vAlign w:val="center"/>
          </w:tcPr>
          <w:p w14:paraId="498B9C8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206</w:t>
            </w:r>
          </w:p>
        </w:tc>
        <w:tc>
          <w:tcPr>
            <w:tcW w:w="2595" w:type="dxa"/>
            <w:gridSpan w:val="3"/>
            <w:tcBorders>
              <w:top w:val="single" w:sz="4" w:space="0" w:color="000000"/>
              <w:left w:val="single" w:sz="4" w:space="0" w:color="000000"/>
              <w:bottom w:val="single" w:sz="4" w:space="0" w:color="000000"/>
              <w:right w:val="single" w:sz="4" w:space="0" w:color="000000"/>
            </w:tcBorders>
            <w:vAlign w:val="center"/>
          </w:tcPr>
          <w:p w14:paraId="0C012DF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630" w:type="dxa"/>
            <w:tcBorders>
              <w:top w:val="single" w:sz="4" w:space="0" w:color="000000"/>
              <w:left w:val="single" w:sz="4" w:space="0" w:color="000000"/>
              <w:bottom w:val="single" w:sz="4" w:space="0" w:color="000000"/>
              <w:right w:val="single" w:sz="4" w:space="0" w:color="000000"/>
            </w:tcBorders>
            <w:vAlign w:val="center"/>
          </w:tcPr>
          <w:p w14:paraId="244DB37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2022</w:t>
            </w:r>
          </w:p>
        </w:tc>
        <w:tc>
          <w:tcPr>
            <w:tcW w:w="780" w:type="dxa"/>
            <w:tcBorders>
              <w:top w:val="single" w:sz="4" w:space="0" w:color="000000"/>
              <w:left w:val="single" w:sz="4" w:space="0" w:color="000000"/>
              <w:bottom w:val="single" w:sz="4" w:space="0" w:color="000000"/>
              <w:right w:val="single" w:sz="4" w:space="0" w:color="000000"/>
            </w:tcBorders>
            <w:vAlign w:val="center"/>
          </w:tcPr>
          <w:p w14:paraId="53EB1920"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t>
            </w:r>
          </w:p>
        </w:tc>
      </w:tr>
      <w:tr w:rsidR="00FF1F16" w14:paraId="48ED0615" w14:textId="77777777">
        <w:trPr>
          <w:trHeight w:val="864"/>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2A959E7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Objeto: El contratista se obliga con MOVILIDAD FUTURA a la Construcción del patio y taller occidente con sus áreas asociadas como centros de operación, zona de mantenimiento, alistamiento, parqueo de la flota y sus conexiones viales asociadas para el SETP de Popayán.</w:t>
            </w:r>
          </w:p>
        </w:tc>
      </w:tr>
      <w:tr w:rsidR="00FF1F16" w14:paraId="0BF3A7E1" w14:textId="77777777">
        <w:trPr>
          <w:trHeight w:val="303"/>
        </w:trPr>
        <w:tc>
          <w:tcPr>
            <w:tcW w:w="8295" w:type="dxa"/>
            <w:gridSpan w:val="7"/>
            <w:tcBorders>
              <w:top w:val="single" w:sz="4" w:space="0" w:color="000000"/>
              <w:left w:val="single" w:sz="4" w:space="0" w:color="000000"/>
              <w:bottom w:val="single" w:sz="4" w:space="0" w:color="000000"/>
              <w:right w:val="single" w:sz="4" w:space="0" w:color="000000"/>
            </w:tcBorders>
            <w:shd w:val="clear" w:color="auto" w:fill="0B3040"/>
            <w:vAlign w:val="center"/>
          </w:tcPr>
          <w:p w14:paraId="480F3F13" w14:textId="77777777" w:rsidR="00FF1F16" w:rsidRDefault="004A6500">
            <w:pPr>
              <w:pBdr>
                <w:top w:val="nil"/>
                <w:left w:val="nil"/>
                <w:bottom w:val="nil"/>
                <w:right w:val="nil"/>
                <w:between w:val="nil"/>
              </w:pBdr>
              <w:shd w:val="clear" w:color="auto" w:fill="E7E6E6"/>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INFORMACIÓN CONTRACTUAL INICIAL BASE</w:t>
            </w:r>
          </w:p>
        </w:tc>
      </w:tr>
      <w:tr w:rsidR="00FF1F16" w14:paraId="41F28F62" w14:textId="77777777">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1D7C0C6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w:t>
            </w:r>
          </w:p>
        </w:tc>
        <w:tc>
          <w:tcPr>
            <w:tcW w:w="435" w:type="dxa"/>
            <w:tcBorders>
              <w:top w:val="single" w:sz="4" w:space="0" w:color="000000"/>
              <w:left w:val="single" w:sz="4" w:space="0" w:color="000000"/>
              <w:bottom w:val="single" w:sz="4" w:space="0" w:color="000000"/>
              <w:right w:val="single" w:sz="4" w:space="0" w:color="000000"/>
            </w:tcBorders>
            <w:vAlign w:val="center"/>
          </w:tcPr>
          <w:p w14:paraId="3AF47E9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31</w:t>
            </w:r>
          </w:p>
        </w:tc>
        <w:tc>
          <w:tcPr>
            <w:tcW w:w="480" w:type="dxa"/>
            <w:tcBorders>
              <w:top w:val="single" w:sz="4" w:space="0" w:color="000000"/>
              <w:left w:val="single" w:sz="4" w:space="0" w:color="000000"/>
              <w:bottom w:val="single" w:sz="4" w:space="0" w:color="000000"/>
              <w:right w:val="single" w:sz="4" w:space="0" w:color="000000"/>
            </w:tcBorders>
            <w:vAlign w:val="center"/>
          </w:tcPr>
          <w:p w14:paraId="50A9696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0E3C981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DICIEMBRE</w:t>
            </w:r>
          </w:p>
        </w:tc>
        <w:tc>
          <w:tcPr>
            <w:tcW w:w="630" w:type="dxa"/>
            <w:tcBorders>
              <w:top w:val="single" w:sz="4" w:space="0" w:color="000000"/>
              <w:left w:val="single" w:sz="4" w:space="0" w:color="000000"/>
              <w:bottom w:val="single" w:sz="4" w:space="0" w:color="000000"/>
              <w:right w:val="single" w:sz="4" w:space="0" w:color="000000"/>
            </w:tcBorders>
            <w:vAlign w:val="center"/>
          </w:tcPr>
          <w:p w14:paraId="45A45D4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4D9AAD2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2022</w:t>
            </w:r>
          </w:p>
        </w:tc>
      </w:tr>
      <w:tr w:rsidR="00FF1F16" w14:paraId="056E7E5C" w14:textId="77777777">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11737BF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Fecha de terminación: </w:t>
            </w:r>
          </w:p>
        </w:tc>
        <w:tc>
          <w:tcPr>
            <w:tcW w:w="435" w:type="dxa"/>
            <w:tcBorders>
              <w:top w:val="single" w:sz="4" w:space="0" w:color="000000"/>
              <w:left w:val="single" w:sz="4" w:space="0" w:color="000000"/>
              <w:bottom w:val="single" w:sz="4" w:space="0" w:color="000000"/>
              <w:right w:val="single" w:sz="4" w:space="0" w:color="000000"/>
            </w:tcBorders>
            <w:vAlign w:val="center"/>
          </w:tcPr>
          <w:p w14:paraId="16688D80"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29</w:t>
            </w:r>
          </w:p>
        </w:tc>
        <w:tc>
          <w:tcPr>
            <w:tcW w:w="480" w:type="dxa"/>
            <w:tcBorders>
              <w:top w:val="single" w:sz="4" w:space="0" w:color="000000"/>
              <w:left w:val="single" w:sz="4" w:space="0" w:color="000000"/>
              <w:bottom w:val="single" w:sz="4" w:space="0" w:color="000000"/>
              <w:right w:val="single" w:sz="4" w:space="0" w:color="000000"/>
            </w:tcBorders>
            <w:vAlign w:val="center"/>
          </w:tcPr>
          <w:p w14:paraId="4409334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3000109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FEBRERO</w:t>
            </w:r>
          </w:p>
        </w:tc>
        <w:tc>
          <w:tcPr>
            <w:tcW w:w="630" w:type="dxa"/>
            <w:tcBorders>
              <w:top w:val="single" w:sz="4" w:space="0" w:color="000000"/>
              <w:left w:val="single" w:sz="4" w:space="0" w:color="000000"/>
              <w:bottom w:val="single" w:sz="4" w:space="0" w:color="000000"/>
              <w:right w:val="single" w:sz="4" w:space="0" w:color="000000"/>
            </w:tcBorders>
            <w:vAlign w:val="center"/>
          </w:tcPr>
          <w:p w14:paraId="0D8951B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6811942D"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43B39F92" w14:textId="77777777">
        <w:trPr>
          <w:trHeight w:val="303"/>
        </w:trPr>
        <w:tc>
          <w:tcPr>
            <w:tcW w:w="1095" w:type="dxa"/>
            <w:tcBorders>
              <w:top w:val="single" w:sz="4" w:space="0" w:color="000000"/>
              <w:left w:val="single" w:sz="4" w:space="0" w:color="000000"/>
              <w:bottom w:val="single" w:sz="4" w:space="0" w:color="000000"/>
              <w:right w:val="single" w:sz="4" w:space="0" w:color="000000"/>
            </w:tcBorders>
            <w:vAlign w:val="center"/>
          </w:tcPr>
          <w:p w14:paraId="7AF23422"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Duración total: </w:t>
            </w:r>
          </w:p>
        </w:tc>
        <w:tc>
          <w:tcPr>
            <w:tcW w:w="3195" w:type="dxa"/>
            <w:tcBorders>
              <w:top w:val="single" w:sz="4" w:space="0" w:color="000000"/>
              <w:left w:val="single" w:sz="4" w:space="0" w:color="000000"/>
              <w:bottom w:val="single" w:sz="4" w:space="0" w:color="000000"/>
              <w:right w:val="single" w:sz="4" w:space="0" w:color="000000"/>
            </w:tcBorders>
            <w:vAlign w:val="center"/>
          </w:tcPr>
          <w:p w14:paraId="38C6FCB4"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No. de días calendario/meses totales de ejecución   </w:t>
            </w:r>
          </w:p>
        </w:tc>
        <w:tc>
          <w:tcPr>
            <w:tcW w:w="435" w:type="dxa"/>
            <w:tcBorders>
              <w:top w:val="single" w:sz="4" w:space="0" w:color="000000"/>
              <w:left w:val="single" w:sz="4" w:space="0" w:color="000000"/>
              <w:bottom w:val="single" w:sz="4" w:space="0" w:color="000000"/>
              <w:right w:val="single" w:sz="4" w:space="0" w:color="000000"/>
            </w:tcBorders>
            <w:vAlign w:val="center"/>
          </w:tcPr>
          <w:p w14:paraId="44D9651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t>
            </w:r>
          </w:p>
        </w:tc>
        <w:tc>
          <w:tcPr>
            <w:tcW w:w="480" w:type="dxa"/>
            <w:tcBorders>
              <w:top w:val="single" w:sz="4" w:space="0" w:color="000000"/>
              <w:left w:val="single" w:sz="4" w:space="0" w:color="000000"/>
              <w:bottom w:val="single" w:sz="4" w:space="0" w:color="000000"/>
              <w:right w:val="single" w:sz="4" w:space="0" w:color="000000"/>
            </w:tcBorders>
            <w:vAlign w:val="center"/>
          </w:tcPr>
          <w:p w14:paraId="63076204"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t>
            </w:r>
          </w:p>
        </w:tc>
        <w:tc>
          <w:tcPr>
            <w:tcW w:w="3090" w:type="dxa"/>
            <w:gridSpan w:val="3"/>
            <w:tcBorders>
              <w:top w:val="single" w:sz="4" w:space="0" w:color="000000"/>
              <w:left w:val="single" w:sz="4" w:space="0" w:color="000000"/>
              <w:bottom w:val="single" w:sz="4" w:space="0" w:color="000000"/>
              <w:right w:val="single" w:sz="4" w:space="0" w:color="000000"/>
            </w:tcBorders>
            <w:vAlign w:val="center"/>
          </w:tcPr>
          <w:p w14:paraId="2D4824AC"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420 </w:t>
            </w:r>
            <w:proofErr w:type="gramStart"/>
            <w:r>
              <w:rPr>
                <w:rFonts w:ascii="Arial Narrow" w:eastAsia="Arial Narrow" w:hAnsi="Arial Narrow" w:cs="Arial Narrow"/>
                <w:color w:val="000000"/>
                <w:sz w:val="24"/>
                <w:szCs w:val="24"/>
              </w:rPr>
              <w:t>Días</w:t>
            </w:r>
            <w:proofErr w:type="gramEnd"/>
          </w:p>
        </w:tc>
      </w:tr>
      <w:tr w:rsidR="00FF1F16" w14:paraId="0066D10F" w14:textId="77777777">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bottom"/>
          </w:tcPr>
          <w:p w14:paraId="5CFD69A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Valor inicial del contrato </w:t>
            </w:r>
          </w:p>
        </w:tc>
        <w:tc>
          <w:tcPr>
            <w:tcW w:w="4005" w:type="dxa"/>
            <w:gridSpan w:val="5"/>
            <w:tcBorders>
              <w:top w:val="single" w:sz="4" w:space="0" w:color="000000"/>
              <w:left w:val="single" w:sz="4" w:space="0" w:color="000000"/>
              <w:bottom w:val="single" w:sz="4" w:space="0" w:color="000000"/>
              <w:right w:val="single" w:sz="4" w:space="0" w:color="000000"/>
            </w:tcBorders>
            <w:vAlign w:val="bottom"/>
          </w:tcPr>
          <w:p w14:paraId="00CAD55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                                                $ 14.217.009.306</w:t>
            </w:r>
          </w:p>
        </w:tc>
      </w:tr>
      <w:tr w:rsidR="00FF1F16" w14:paraId="72475197" w14:textId="77777777">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bottom"/>
          </w:tcPr>
          <w:p w14:paraId="036EE241"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Valor adicional 1 </w:t>
            </w:r>
          </w:p>
        </w:tc>
        <w:tc>
          <w:tcPr>
            <w:tcW w:w="4005" w:type="dxa"/>
            <w:gridSpan w:val="5"/>
            <w:tcBorders>
              <w:top w:val="single" w:sz="4" w:space="0" w:color="000000"/>
              <w:left w:val="single" w:sz="4" w:space="0" w:color="000000"/>
              <w:bottom w:val="single" w:sz="4" w:space="0" w:color="000000"/>
              <w:right w:val="single" w:sz="4" w:space="0" w:color="000000"/>
            </w:tcBorders>
            <w:vAlign w:val="bottom"/>
          </w:tcPr>
          <w:p w14:paraId="4FEA8042"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                                                </w:t>
            </w:r>
            <w:r>
              <w:rPr>
                <w:rFonts w:ascii="Arial Narrow" w:eastAsia="Arial Narrow" w:hAnsi="Arial Narrow" w:cs="Arial Narrow"/>
                <w:b/>
                <w:bCs/>
                <w:sz w:val="24"/>
                <w:szCs w:val="24"/>
              </w:rPr>
              <w:t>$   4.084.205.966</w:t>
            </w:r>
          </w:p>
        </w:tc>
      </w:tr>
      <w:tr w:rsidR="00FF1F16" w14:paraId="62F07558" w14:textId="77777777">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bottom"/>
          </w:tcPr>
          <w:p w14:paraId="3511FC73"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Valor total del contrato </w:t>
            </w:r>
          </w:p>
        </w:tc>
        <w:tc>
          <w:tcPr>
            <w:tcW w:w="4005" w:type="dxa"/>
            <w:gridSpan w:val="5"/>
            <w:tcBorders>
              <w:top w:val="single" w:sz="4" w:space="0" w:color="000000"/>
              <w:left w:val="single" w:sz="4" w:space="0" w:color="000000"/>
              <w:bottom w:val="single" w:sz="4" w:space="0" w:color="000000"/>
              <w:right w:val="single" w:sz="4" w:space="0" w:color="000000"/>
            </w:tcBorders>
            <w:vAlign w:val="bottom"/>
          </w:tcPr>
          <w:p w14:paraId="0E0EA584"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                                                $ 18.301.215.272</w:t>
            </w:r>
          </w:p>
        </w:tc>
      </w:tr>
      <w:tr w:rsidR="00FF1F16" w14:paraId="53741E3B" w14:textId="77777777">
        <w:trPr>
          <w:trHeight w:val="303"/>
        </w:trPr>
        <w:tc>
          <w:tcPr>
            <w:tcW w:w="8295" w:type="dxa"/>
            <w:gridSpan w:val="7"/>
            <w:tcBorders>
              <w:top w:val="single" w:sz="4" w:space="0" w:color="000000"/>
              <w:left w:val="single" w:sz="4" w:space="0" w:color="000000"/>
              <w:bottom w:val="single" w:sz="4" w:space="0" w:color="000000"/>
              <w:right w:val="single" w:sz="4" w:space="0" w:color="000000"/>
            </w:tcBorders>
            <w:shd w:val="clear" w:color="auto" w:fill="0B3040"/>
            <w:vAlign w:val="center"/>
          </w:tcPr>
          <w:p w14:paraId="3DD29A3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CONTRACTUALES</w:t>
            </w:r>
          </w:p>
        </w:tc>
      </w:tr>
      <w:tr w:rsidR="00FF1F16" w14:paraId="4BC1336A" w14:textId="77777777">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28B891E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Suspensión </w:t>
            </w:r>
            <w:r>
              <w:rPr>
                <w:rFonts w:ascii="Arial Narrow" w:eastAsia="Arial Narrow" w:hAnsi="Arial Narrow" w:cs="Arial Narrow"/>
                <w:sz w:val="24"/>
                <w:szCs w:val="24"/>
              </w:rPr>
              <w:t>No 1</w:t>
            </w:r>
          </w:p>
        </w:tc>
      </w:tr>
      <w:tr w:rsidR="00FF1F16" w14:paraId="00FA5602"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4DDE38B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14:paraId="6132515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09</w:t>
            </w:r>
          </w:p>
        </w:tc>
        <w:tc>
          <w:tcPr>
            <w:tcW w:w="480" w:type="dxa"/>
            <w:tcBorders>
              <w:top w:val="single" w:sz="4" w:space="0" w:color="000000"/>
              <w:left w:val="single" w:sz="4" w:space="0" w:color="000000"/>
              <w:bottom w:val="single" w:sz="4" w:space="0" w:color="000000"/>
              <w:right w:val="single" w:sz="4" w:space="0" w:color="000000"/>
            </w:tcBorders>
            <w:vAlign w:val="center"/>
          </w:tcPr>
          <w:p w14:paraId="6268664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5A28978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FEBRERO</w:t>
            </w:r>
          </w:p>
        </w:tc>
        <w:tc>
          <w:tcPr>
            <w:tcW w:w="630" w:type="dxa"/>
            <w:tcBorders>
              <w:top w:val="single" w:sz="4" w:space="0" w:color="000000"/>
              <w:left w:val="single" w:sz="4" w:space="0" w:color="000000"/>
              <w:bottom w:val="single" w:sz="4" w:space="0" w:color="000000"/>
              <w:right w:val="single" w:sz="4" w:space="0" w:color="000000"/>
            </w:tcBorders>
            <w:vAlign w:val="center"/>
          </w:tcPr>
          <w:p w14:paraId="624AA2F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645A8DA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5E7CA89B"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1EC23FA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14:paraId="1D0FC01C"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480" w:type="dxa"/>
            <w:tcBorders>
              <w:top w:val="single" w:sz="4" w:space="0" w:color="000000"/>
              <w:left w:val="single" w:sz="4" w:space="0" w:color="000000"/>
              <w:bottom w:val="single" w:sz="4" w:space="0" w:color="000000"/>
              <w:right w:val="single" w:sz="4" w:space="0" w:color="000000"/>
            </w:tcBorders>
            <w:vAlign w:val="center"/>
          </w:tcPr>
          <w:p w14:paraId="0049AF2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25D0429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SEPTIEMBRE</w:t>
            </w:r>
          </w:p>
        </w:tc>
        <w:tc>
          <w:tcPr>
            <w:tcW w:w="630" w:type="dxa"/>
            <w:tcBorders>
              <w:top w:val="single" w:sz="4" w:space="0" w:color="000000"/>
              <w:left w:val="single" w:sz="4" w:space="0" w:color="000000"/>
              <w:bottom w:val="single" w:sz="4" w:space="0" w:color="000000"/>
              <w:right w:val="single" w:sz="4" w:space="0" w:color="000000"/>
            </w:tcBorders>
            <w:vAlign w:val="center"/>
          </w:tcPr>
          <w:p w14:paraId="41987D6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120ED7E2"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072D34A0" w14:textId="77777777">
        <w:trPr>
          <w:trHeight w:val="37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6F5D224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Nueva Fecha de terminación contrato: </w:t>
            </w:r>
          </w:p>
        </w:tc>
        <w:tc>
          <w:tcPr>
            <w:tcW w:w="435" w:type="dxa"/>
            <w:tcBorders>
              <w:top w:val="single" w:sz="4" w:space="0" w:color="000000"/>
              <w:left w:val="single" w:sz="4" w:space="0" w:color="000000"/>
              <w:bottom w:val="single" w:sz="4" w:space="0" w:color="000000"/>
              <w:right w:val="single" w:sz="4" w:space="0" w:color="000000"/>
            </w:tcBorders>
            <w:vAlign w:val="center"/>
          </w:tcPr>
          <w:p w14:paraId="62F964D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480" w:type="dxa"/>
            <w:tcBorders>
              <w:top w:val="single" w:sz="4" w:space="0" w:color="000000"/>
              <w:left w:val="single" w:sz="4" w:space="0" w:color="000000"/>
              <w:bottom w:val="single" w:sz="4" w:space="0" w:color="000000"/>
              <w:right w:val="single" w:sz="4" w:space="0" w:color="000000"/>
            </w:tcBorders>
            <w:vAlign w:val="center"/>
          </w:tcPr>
          <w:p w14:paraId="149F9FB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4AC028F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OCTUBRE</w:t>
            </w:r>
          </w:p>
        </w:tc>
        <w:tc>
          <w:tcPr>
            <w:tcW w:w="630" w:type="dxa"/>
            <w:tcBorders>
              <w:top w:val="single" w:sz="4" w:space="0" w:color="000000"/>
              <w:left w:val="single" w:sz="4" w:space="0" w:color="000000"/>
              <w:bottom w:val="single" w:sz="4" w:space="0" w:color="000000"/>
              <w:right w:val="single" w:sz="4" w:space="0" w:color="000000"/>
            </w:tcBorders>
            <w:vAlign w:val="center"/>
          </w:tcPr>
          <w:p w14:paraId="48F08FF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4FD05A8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385123BF" w14:textId="77777777">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6C489A3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Prorroga No. 1 </w:t>
            </w:r>
          </w:p>
        </w:tc>
      </w:tr>
      <w:tr w:rsidR="00FF1F16" w14:paraId="73E24CA4"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1BD5224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14:paraId="5A914ACC"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480" w:type="dxa"/>
            <w:tcBorders>
              <w:top w:val="single" w:sz="4" w:space="0" w:color="000000"/>
              <w:left w:val="single" w:sz="4" w:space="0" w:color="000000"/>
              <w:bottom w:val="single" w:sz="4" w:space="0" w:color="000000"/>
              <w:right w:val="single" w:sz="4" w:space="0" w:color="000000"/>
            </w:tcBorders>
            <w:vAlign w:val="center"/>
          </w:tcPr>
          <w:p w14:paraId="12EF4CC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01603706"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OCTUBRE</w:t>
            </w:r>
          </w:p>
        </w:tc>
        <w:tc>
          <w:tcPr>
            <w:tcW w:w="630" w:type="dxa"/>
            <w:tcBorders>
              <w:top w:val="single" w:sz="4" w:space="0" w:color="000000"/>
              <w:left w:val="single" w:sz="4" w:space="0" w:color="000000"/>
              <w:bottom w:val="single" w:sz="4" w:space="0" w:color="000000"/>
              <w:right w:val="single" w:sz="4" w:space="0" w:color="000000"/>
            </w:tcBorders>
            <w:vAlign w:val="center"/>
          </w:tcPr>
          <w:p w14:paraId="632B896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1843961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5422E16D"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4BA330A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14:paraId="4E8F5BD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480" w:type="dxa"/>
            <w:tcBorders>
              <w:top w:val="single" w:sz="4" w:space="0" w:color="000000"/>
              <w:left w:val="single" w:sz="4" w:space="0" w:color="000000"/>
              <w:bottom w:val="single" w:sz="4" w:space="0" w:color="000000"/>
              <w:right w:val="single" w:sz="4" w:space="0" w:color="000000"/>
            </w:tcBorders>
            <w:vAlign w:val="center"/>
          </w:tcPr>
          <w:p w14:paraId="6CC38F76"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256396D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NOVIEMBRE</w:t>
            </w:r>
          </w:p>
        </w:tc>
        <w:tc>
          <w:tcPr>
            <w:tcW w:w="630" w:type="dxa"/>
            <w:tcBorders>
              <w:top w:val="single" w:sz="4" w:space="0" w:color="000000"/>
              <w:left w:val="single" w:sz="4" w:space="0" w:color="000000"/>
              <w:bottom w:val="single" w:sz="4" w:space="0" w:color="000000"/>
              <w:right w:val="single" w:sz="4" w:space="0" w:color="000000"/>
            </w:tcBorders>
            <w:vAlign w:val="center"/>
          </w:tcPr>
          <w:p w14:paraId="789E31A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67E4EB4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7A8FDB11" w14:textId="77777777">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592EFC3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Suspensión </w:t>
            </w:r>
            <w:r>
              <w:rPr>
                <w:rFonts w:ascii="Arial Narrow" w:eastAsia="Arial Narrow" w:hAnsi="Arial Narrow" w:cs="Arial Narrow"/>
                <w:sz w:val="24"/>
                <w:szCs w:val="24"/>
              </w:rPr>
              <w:t>No 2</w:t>
            </w:r>
          </w:p>
        </w:tc>
      </w:tr>
      <w:tr w:rsidR="00FF1F16" w14:paraId="7A2E3592"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7BD427BD"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14:paraId="1505749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14</w:t>
            </w:r>
          </w:p>
        </w:tc>
        <w:tc>
          <w:tcPr>
            <w:tcW w:w="480" w:type="dxa"/>
            <w:tcBorders>
              <w:top w:val="single" w:sz="4" w:space="0" w:color="000000"/>
              <w:left w:val="single" w:sz="4" w:space="0" w:color="000000"/>
              <w:bottom w:val="single" w:sz="4" w:space="0" w:color="000000"/>
              <w:right w:val="single" w:sz="4" w:space="0" w:color="000000"/>
            </w:tcBorders>
            <w:vAlign w:val="center"/>
          </w:tcPr>
          <w:p w14:paraId="0D55E912"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33DB1DD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NOVIEMBRE</w:t>
            </w:r>
          </w:p>
        </w:tc>
        <w:tc>
          <w:tcPr>
            <w:tcW w:w="630" w:type="dxa"/>
            <w:tcBorders>
              <w:top w:val="single" w:sz="4" w:space="0" w:color="000000"/>
              <w:left w:val="single" w:sz="4" w:space="0" w:color="000000"/>
              <w:bottom w:val="single" w:sz="4" w:space="0" w:color="000000"/>
              <w:right w:val="single" w:sz="4" w:space="0" w:color="000000"/>
            </w:tcBorders>
            <w:vAlign w:val="center"/>
          </w:tcPr>
          <w:p w14:paraId="7813E9A9"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2EF7F99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14:paraId="737465D4"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59CA129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14:paraId="3837B160"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07</w:t>
            </w:r>
          </w:p>
        </w:tc>
        <w:tc>
          <w:tcPr>
            <w:tcW w:w="480" w:type="dxa"/>
            <w:tcBorders>
              <w:top w:val="single" w:sz="4" w:space="0" w:color="000000"/>
              <w:left w:val="single" w:sz="4" w:space="0" w:color="000000"/>
              <w:bottom w:val="single" w:sz="4" w:space="0" w:color="000000"/>
              <w:right w:val="single" w:sz="4" w:space="0" w:color="000000"/>
            </w:tcBorders>
            <w:vAlign w:val="center"/>
          </w:tcPr>
          <w:p w14:paraId="4B9C822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4E39B03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ABRIL</w:t>
            </w:r>
          </w:p>
        </w:tc>
        <w:tc>
          <w:tcPr>
            <w:tcW w:w="630" w:type="dxa"/>
            <w:tcBorders>
              <w:top w:val="single" w:sz="4" w:space="0" w:color="000000"/>
              <w:left w:val="single" w:sz="4" w:space="0" w:color="000000"/>
              <w:bottom w:val="single" w:sz="4" w:space="0" w:color="000000"/>
              <w:right w:val="single" w:sz="4" w:space="0" w:color="000000"/>
            </w:tcBorders>
            <w:vAlign w:val="center"/>
          </w:tcPr>
          <w:p w14:paraId="162A019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648C3FB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14:paraId="12F78D68" w14:textId="77777777">
        <w:trPr>
          <w:trHeight w:val="37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537371D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Nueva Fecha de terminación contrato: </w:t>
            </w:r>
          </w:p>
        </w:tc>
        <w:tc>
          <w:tcPr>
            <w:tcW w:w="435" w:type="dxa"/>
            <w:tcBorders>
              <w:top w:val="single" w:sz="4" w:space="0" w:color="000000"/>
              <w:left w:val="single" w:sz="4" w:space="0" w:color="000000"/>
              <w:bottom w:val="single" w:sz="4" w:space="0" w:color="000000"/>
              <w:right w:val="single" w:sz="4" w:space="0" w:color="000000"/>
            </w:tcBorders>
            <w:vAlign w:val="center"/>
          </w:tcPr>
          <w:p w14:paraId="0EE45B9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08</w:t>
            </w:r>
          </w:p>
        </w:tc>
        <w:tc>
          <w:tcPr>
            <w:tcW w:w="480" w:type="dxa"/>
            <w:tcBorders>
              <w:top w:val="single" w:sz="4" w:space="0" w:color="000000"/>
              <w:left w:val="single" w:sz="4" w:space="0" w:color="000000"/>
              <w:bottom w:val="single" w:sz="4" w:space="0" w:color="000000"/>
              <w:right w:val="single" w:sz="4" w:space="0" w:color="000000"/>
            </w:tcBorders>
            <w:vAlign w:val="center"/>
          </w:tcPr>
          <w:p w14:paraId="699A990D"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6AEE88D2"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ABRIL</w:t>
            </w:r>
          </w:p>
        </w:tc>
        <w:tc>
          <w:tcPr>
            <w:tcW w:w="630" w:type="dxa"/>
            <w:tcBorders>
              <w:top w:val="single" w:sz="4" w:space="0" w:color="000000"/>
              <w:left w:val="single" w:sz="4" w:space="0" w:color="000000"/>
              <w:bottom w:val="single" w:sz="4" w:space="0" w:color="000000"/>
              <w:right w:val="single" w:sz="4" w:space="0" w:color="000000"/>
            </w:tcBorders>
            <w:vAlign w:val="center"/>
          </w:tcPr>
          <w:p w14:paraId="5C03DF37"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1B9735CC"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14:paraId="037B9AB4" w14:textId="77777777">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3DF88E65" w14:textId="77777777" w:rsidR="00FF1F16" w:rsidRDefault="004A6500">
            <w:pP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Prorroga No. 2 </w:t>
            </w:r>
          </w:p>
        </w:tc>
      </w:tr>
      <w:tr w:rsidR="00FF1F16" w14:paraId="46F7CB2E"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37EA8EF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14:paraId="3C7C17BD"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08</w:t>
            </w:r>
          </w:p>
        </w:tc>
        <w:tc>
          <w:tcPr>
            <w:tcW w:w="480" w:type="dxa"/>
            <w:tcBorders>
              <w:top w:val="single" w:sz="4" w:space="0" w:color="000000"/>
              <w:left w:val="single" w:sz="4" w:space="0" w:color="000000"/>
              <w:bottom w:val="single" w:sz="4" w:space="0" w:color="000000"/>
              <w:right w:val="single" w:sz="4" w:space="0" w:color="000000"/>
            </w:tcBorders>
            <w:vAlign w:val="center"/>
          </w:tcPr>
          <w:p w14:paraId="7FA77E5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57A75AF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ABRIL</w:t>
            </w:r>
          </w:p>
        </w:tc>
        <w:tc>
          <w:tcPr>
            <w:tcW w:w="630" w:type="dxa"/>
            <w:tcBorders>
              <w:top w:val="single" w:sz="4" w:space="0" w:color="000000"/>
              <w:left w:val="single" w:sz="4" w:space="0" w:color="000000"/>
              <w:bottom w:val="single" w:sz="4" w:space="0" w:color="000000"/>
              <w:right w:val="single" w:sz="4" w:space="0" w:color="000000"/>
            </w:tcBorders>
            <w:vAlign w:val="center"/>
          </w:tcPr>
          <w:p w14:paraId="4A58F9B6"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5270A85D"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14:paraId="675528F6"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2B3A83EC"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14:paraId="7EE3B0E6"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480" w:type="dxa"/>
            <w:tcBorders>
              <w:top w:val="single" w:sz="4" w:space="0" w:color="000000"/>
              <w:left w:val="single" w:sz="4" w:space="0" w:color="000000"/>
              <w:bottom w:val="single" w:sz="4" w:space="0" w:color="000000"/>
              <w:right w:val="single" w:sz="4" w:space="0" w:color="000000"/>
            </w:tcBorders>
            <w:vAlign w:val="center"/>
          </w:tcPr>
          <w:p w14:paraId="0006624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0FF578BE"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AGOSTO</w:t>
            </w:r>
          </w:p>
        </w:tc>
        <w:tc>
          <w:tcPr>
            <w:tcW w:w="630" w:type="dxa"/>
            <w:tcBorders>
              <w:top w:val="single" w:sz="4" w:space="0" w:color="000000"/>
              <w:left w:val="single" w:sz="4" w:space="0" w:color="000000"/>
              <w:bottom w:val="single" w:sz="4" w:space="0" w:color="000000"/>
              <w:right w:val="single" w:sz="4" w:space="0" w:color="000000"/>
            </w:tcBorders>
            <w:vAlign w:val="center"/>
          </w:tcPr>
          <w:p w14:paraId="5725CBEB"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600CD506"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14:paraId="35EF0336" w14:textId="77777777">
        <w:trPr>
          <w:trHeight w:val="318"/>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491140C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Suspensión </w:t>
            </w:r>
            <w:r>
              <w:rPr>
                <w:rFonts w:ascii="Arial Narrow" w:eastAsia="Arial Narrow" w:hAnsi="Arial Narrow" w:cs="Arial Narrow"/>
                <w:sz w:val="24"/>
                <w:szCs w:val="24"/>
              </w:rPr>
              <w:t>No 3</w:t>
            </w:r>
          </w:p>
        </w:tc>
      </w:tr>
      <w:tr w:rsidR="00FF1F16" w14:paraId="53441696"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2D5AFE31"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14:paraId="16D673E5"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480" w:type="dxa"/>
            <w:tcBorders>
              <w:top w:val="single" w:sz="4" w:space="0" w:color="000000"/>
              <w:left w:val="single" w:sz="4" w:space="0" w:color="000000"/>
              <w:bottom w:val="single" w:sz="4" w:space="0" w:color="000000"/>
              <w:right w:val="single" w:sz="4" w:space="0" w:color="000000"/>
            </w:tcBorders>
            <w:vAlign w:val="center"/>
          </w:tcPr>
          <w:p w14:paraId="3C28E6B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0827E21C"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AGOSTO</w:t>
            </w:r>
          </w:p>
        </w:tc>
        <w:tc>
          <w:tcPr>
            <w:tcW w:w="630" w:type="dxa"/>
            <w:tcBorders>
              <w:top w:val="single" w:sz="4" w:space="0" w:color="000000"/>
              <w:left w:val="single" w:sz="4" w:space="0" w:color="000000"/>
              <w:bottom w:val="single" w:sz="4" w:space="0" w:color="000000"/>
              <w:right w:val="single" w:sz="4" w:space="0" w:color="000000"/>
            </w:tcBorders>
            <w:vAlign w:val="center"/>
          </w:tcPr>
          <w:p w14:paraId="7D1A07A9"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6AA4E72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14:paraId="0D5887AD"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76234F6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Fecha de terminación de la suspensión </w:t>
            </w:r>
          </w:p>
        </w:tc>
        <w:tc>
          <w:tcPr>
            <w:tcW w:w="435" w:type="dxa"/>
            <w:tcBorders>
              <w:top w:val="single" w:sz="4" w:space="0" w:color="000000"/>
              <w:left w:val="single" w:sz="4" w:space="0" w:color="000000"/>
              <w:bottom w:val="single" w:sz="4" w:space="0" w:color="000000"/>
              <w:right w:val="single" w:sz="4" w:space="0" w:color="000000"/>
            </w:tcBorders>
            <w:vAlign w:val="center"/>
          </w:tcPr>
          <w:p w14:paraId="43AA3D98"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09</w:t>
            </w:r>
          </w:p>
        </w:tc>
        <w:tc>
          <w:tcPr>
            <w:tcW w:w="480" w:type="dxa"/>
            <w:tcBorders>
              <w:top w:val="single" w:sz="4" w:space="0" w:color="000000"/>
              <w:left w:val="single" w:sz="4" w:space="0" w:color="000000"/>
              <w:bottom w:val="single" w:sz="4" w:space="0" w:color="000000"/>
              <w:right w:val="single" w:sz="4" w:space="0" w:color="000000"/>
            </w:tcBorders>
            <w:vAlign w:val="center"/>
          </w:tcPr>
          <w:p w14:paraId="7509D0F3"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de </w:t>
            </w:r>
          </w:p>
        </w:tc>
        <w:tc>
          <w:tcPr>
            <w:tcW w:w="1680" w:type="dxa"/>
            <w:tcBorders>
              <w:top w:val="single" w:sz="4" w:space="0" w:color="000000"/>
              <w:left w:val="single" w:sz="4" w:space="0" w:color="000000"/>
              <w:bottom w:val="single" w:sz="4" w:space="0" w:color="000000"/>
              <w:right w:val="single" w:sz="4" w:space="0" w:color="000000"/>
            </w:tcBorders>
            <w:vAlign w:val="center"/>
          </w:tcPr>
          <w:p w14:paraId="14A1E73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ENERO</w:t>
            </w:r>
          </w:p>
        </w:tc>
        <w:tc>
          <w:tcPr>
            <w:tcW w:w="630" w:type="dxa"/>
            <w:tcBorders>
              <w:top w:val="single" w:sz="4" w:space="0" w:color="000000"/>
              <w:left w:val="single" w:sz="4" w:space="0" w:color="000000"/>
              <w:bottom w:val="single" w:sz="4" w:space="0" w:color="000000"/>
              <w:right w:val="single" w:sz="4" w:space="0" w:color="000000"/>
            </w:tcBorders>
            <w:vAlign w:val="center"/>
          </w:tcPr>
          <w:p w14:paraId="223053BF"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de </w:t>
            </w:r>
          </w:p>
        </w:tc>
        <w:tc>
          <w:tcPr>
            <w:tcW w:w="780" w:type="dxa"/>
            <w:tcBorders>
              <w:top w:val="single" w:sz="4" w:space="0" w:color="000000"/>
              <w:left w:val="single" w:sz="4" w:space="0" w:color="000000"/>
              <w:bottom w:val="single" w:sz="4" w:space="0" w:color="000000"/>
              <w:right w:val="single" w:sz="4" w:space="0" w:color="000000"/>
            </w:tcBorders>
            <w:vAlign w:val="center"/>
          </w:tcPr>
          <w:p w14:paraId="3309784A" w14:textId="77777777"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2026</w:t>
            </w:r>
          </w:p>
        </w:tc>
      </w:tr>
      <w:tr w:rsidR="00FF1F16" w14:paraId="4475B0A9" w14:textId="77777777">
        <w:trPr>
          <w:trHeight w:val="318"/>
        </w:trPr>
        <w:tc>
          <w:tcPr>
            <w:tcW w:w="8295" w:type="dxa"/>
            <w:gridSpan w:val="7"/>
            <w:tcBorders>
              <w:top w:val="single" w:sz="4" w:space="0" w:color="000000"/>
              <w:left w:val="single" w:sz="4" w:space="0" w:color="000000"/>
              <w:bottom w:val="single" w:sz="4" w:space="0" w:color="000000"/>
              <w:right w:val="single" w:sz="4" w:space="0" w:color="000000"/>
            </w:tcBorders>
            <w:vAlign w:val="center"/>
          </w:tcPr>
          <w:p w14:paraId="1859B4B1"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Prorroga No. 3 y Adición 1</w:t>
            </w:r>
          </w:p>
        </w:tc>
      </w:tr>
      <w:tr w:rsidR="00FF1F16" w14:paraId="6FD597B8"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72070C5F"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lastRenderedPageBreak/>
              <w:t>Fecha de inicio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14:paraId="13729592"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13</w:t>
            </w:r>
          </w:p>
        </w:tc>
        <w:tc>
          <w:tcPr>
            <w:tcW w:w="480" w:type="dxa"/>
            <w:tcBorders>
              <w:top w:val="single" w:sz="4" w:space="0" w:color="000000"/>
              <w:left w:val="single" w:sz="4" w:space="0" w:color="000000"/>
              <w:bottom w:val="single" w:sz="4" w:space="0" w:color="000000"/>
              <w:right w:val="single" w:sz="4" w:space="0" w:color="000000"/>
            </w:tcBorders>
            <w:vAlign w:val="center"/>
          </w:tcPr>
          <w:p w14:paraId="2DE0BBA9"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1680" w:type="dxa"/>
            <w:tcBorders>
              <w:top w:val="single" w:sz="4" w:space="0" w:color="000000"/>
              <w:left w:val="single" w:sz="4" w:space="0" w:color="000000"/>
              <w:bottom w:val="single" w:sz="4" w:space="0" w:color="000000"/>
              <w:right w:val="single" w:sz="4" w:space="0" w:color="000000"/>
            </w:tcBorders>
            <w:vAlign w:val="center"/>
          </w:tcPr>
          <w:p w14:paraId="218C1006"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ENERO</w:t>
            </w:r>
          </w:p>
        </w:tc>
        <w:tc>
          <w:tcPr>
            <w:tcW w:w="630" w:type="dxa"/>
            <w:tcBorders>
              <w:top w:val="single" w:sz="4" w:space="0" w:color="000000"/>
              <w:left w:val="single" w:sz="4" w:space="0" w:color="000000"/>
              <w:bottom w:val="single" w:sz="4" w:space="0" w:color="000000"/>
              <w:right w:val="single" w:sz="4" w:space="0" w:color="000000"/>
            </w:tcBorders>
            <w:vAlign w:val="center"/>
          </w:tcPr>
          <w:p w14:paraId="154F708D"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780" w:type="dxa"/>
            <w:tcBorders>
              <w:top w:val="single" w:sz="4" w:space="0" w:color="000000"/>
              <w:left w:val="single" w:sz="4" w:space="0" w:color="000000"/>
              <w:bottom w:val="single" w:sz="4" w:space="0" w:color="000000"/>
              <w:right w:val="single" w:sz="4" w:space="0" w:color="000000"/>
            </w:tcBorders>
            <w:vAlign w:val="center"/>
          </w:tcPr>
          <w:p w14:paraId="239D97CF"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2026</w:t>
            </w:r>
          </w:p>
        </w:tc>
      </w:tr>
      <w:tr w:rsidR="00FF1F16" w14:paraId="5676FED0"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702A5E89"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FECHA DE TERMINACIÓN </w:t>
            </w:r>
          </w:p>
        </w:tc>
        <w:tc>
          <w:tcPr>
            <w:tcW w:w="435" w:type="dxa"/>
            <w:tcBorders>
              <w:top w:val="single" w:sz="4" w:space="0" w:color="000000"/>
              <w:left w:val="single" w:sz="4" w:space="0" w:color="000000"/>
              <w:bottom w:val="single" w:sz="4" w:space="0" w:color="000000"/>
              <w:right w:val="single" w:sz="4" w:space="0" w:color="000000"/>
            </w:tcBorders>
            <w:vAlign w:val="center"/>
          </w:tcPr>
          <w:p w14:paraId="24798ECE"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08</w:t>
            </w:r>
          </w:p>
        </w:tc>
        <w:tc>
          <w:tcPr>
            <w:tcW w:w="480" w:type="dxa"/>
            <w:tcBorders>
              <w:top w:val="single" w:sz="4" w:space="0" w:color="000000"/>
              <w:left w:val="single" w:sz="4" w:space="0" w:color="000000"/>
              <w:bottom w:val="single" w:sz="4" w:space="0" w:color="000000"/>
              <w:right w:val="single" w:sz="4" w:space="0" w:color="000000"/>
            </w:tcBorders>
            <w:vAlign w:val="center"/>
          </w:tcPr>
          <w:p w14:paraId="66683100"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1680" w:type="dxa"/>
            <w:tcBorders>
              <w:top w:val="single" w:sz="4" w:space="0" w:color="000000"/>
              <w:left w:val="single" w:sz="4" w:space="0" w:color="000000"/>
              <w:bottom w:val="single" w:sz="4" w:space="0" w:color="000000"/>
              <w:right w:val="single" w:sz="4" w:space="0" w:color="000000"/>
            </w:tcBorders>
            <w:vAlign w:val="center"/>
          </w:tcPr>
          <w:p w14:paraId="462CC7BC"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MAYO</w:t>
            </w:r>
          </w:p>
        </w:tc>
        <w:tc>
          <w:tcPr>
            <w:tcW w:w="630" w:type="dxa"/>
            <w:tcBorders>
              <w:top w:val="single" w:sz="4" w:space="0" w:color="000000"/>
              <w:left w:val="single" w:sz="4" w:space="0" w:color="000000"/>
              <w:bottom w:val="single" w:sz="4" w:space="0" w:color="000000"/>
              <w:right w:val="single" w:sz="4" w:space="0" w:color="000000"/>
            </w:tcBorders>
            <w:vAlign w:val="center"/>
          </w:tcPr>
          <w:p w14:paraId="3EF73F01"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780" w:type="dxa"/>
            <w:tcBorders>
              <w:top w:val="single" w:sz="4" w:space="0" w:color="000000"/>
              <w:left w:val="single" w:sz="4" w:space="0" w:color="000000"/>
              <w:bottom w:val="single" w:sz="4" w:space="0" w:color="000000"/>
              <w:right w:val="single" w:sz="4" w:space="0" w:color="000000"/>
            </w:tcBorders>
            <w:vAlign w:val="center"/>
          </w:tcPr>
          <w:p w14:paraId="2E38DCAF" w14:textId="77777777"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2026 </w:t>
            </w:r>
          </w:p>
        </w:tc>
      </w:tr>
      <w:tr w:rsidR="00FF1F16" w14:paraId="010D2F76" w14:textId="77777777">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14:paraId="2E1A5837"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FECHA DE SUSPENSIÓN </w:t>
            </w:r>
          </w:p>
        </w:tc>
        <w:tc>
          <w:tcPr>
            <w:tcW w:w="435" w:type="dxa"/>
            <w:tcBorders>
              <w:top w:val="single" w:sz="4" w:space="0" w:color="000000"/>
              <w:left w:val="single" w:sz="4" w:space="0" w:color="000000"/>
              <w:bottom w:val="single" w:sz="4" w:space="0" w:color="000000"/>
              <w:right w:val="single" w:sz="4" w:space="0" w:color="000000"/>
            </w:tcBorders>
            <w:vAlign w:val="center"/>
          </w:tcPr>
          <w:p w14:paraId="43B709FA"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04</w:t>
            </w:r>
          </w:p>
        </w:tc>
        <w:tc>
          <w:tcPr>
            <w:tcW w:w="480" w:type="dxa"/>
            <w:tcBorders>
              <w:top w:val="single" w:sz="4" w:space="0" w:color="000000"/>
              <w:left w:val="single" w:sz="4" w:space="0" w:color="000000"/>
              <w:bottom w:val="single" w:sz="4" w:space="0" w:color="000000"/>
              <w:right w:val="single" w:sz="4" w:space="0" w:color="000000"/>
            </w:tcBorders>
            <w:vAlign w:val="center"/>
          </w:tcPr>
          <w:p w14:paraId="6006870C"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14:paraId="7577BF48"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MAYO</w:t>
            </w:r>
          </w:p>
        </w:tc>
        <w:tc>
          <w:tcPr>
            <w:tcW w:w="630" w:type="dxa"/>
            <w:tcBorders>
              <w:top w:val="single" w:sz="4" w:space="0" w:color="000000"/>
              <w:left w:val="single" w:sz="4" w:space="0" w:color="000000"/>
              <w:bottom w:val="single" w:sz="4" w:space="0" w:color="000000"/>
              <w:right w:val="single" w:sz="4" w:space="0" w:color="000000"/>
            </w:tcBorders>
            <w:vAlign w:val="center"/>
          </w:tcPr>
          <w:p w14:paraId="0DF22AE4"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14:paraId="1E641884" w14:textId="77777777"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2026</w:t>
            </w:r>
          </w:p>
        </w:tc>
      </w:tr>
    </w:tbl>
    <w:p w14:paraId="71E27B7C" w14:textId="77777777" w:rsidR="00FF1F16" w:rsidRDefault="00FF1F16">
      <w:pPr>
        <w:spacing w:line="240" w:lineRule="auto"/>
        <w:rPr>
          <w:rFonts w:ascii="Arial Narrow" w:eastAsia="Arial Narrow" w:hAnsi="Arial Narrow" w:cs="Arial Narrow"/>
        </w:rPr>
      </w:pPr>
    </w:p>
    <w:p w14:paraId="18A8380A" w14:textId="77777777" w:rsidR="00FF1F16" w:rsidRDefault="00FF1F16">
      <w:pPr>
        <w:jc w:val="both"/>
        <w:rPr>
          <w:rFonts w:ascii="Arial Narrow" w:eastAsia="Arial Narrow" w:hAnsi="Arial Narrow" w:cs="Arial Narrow"/>
          <w:sz w:val="24"/>
          <w:szCs w:val="24"/>
        </w:rPr>
      </w:pPr>
    </w:p>
    <w:p w14:paraId="087A9D8B"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Con corte al 30 de abril de 2026, el proyecto Patio y Taller Occidente registra un avance físico del 94%, calculado sobre un valor total contratado de $18.301.215.272, cifra que incorpora las adiciones presupuestales aprobadas para garantizar la continuidad y culminación de las obras.</w:t>
      </w:r>
    </w:p>
    <w:p w14:paraId="62FAA307"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En cuanto al estado contractual, el proyecto ha presentado escenarios de suspensión asociados a las dinámicas propias del proceso constructivo y contractual; no obstante, las gestiones administrativas y presupuestales adelantadas permitieron la reactivación y continuidad de actividades estratégicas para la terminación de la infraestructura.</w:t>
      </w:r>
    </w:p>
    <w:p w14:paraId="444D32F6"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 Dentro de las obras ejecutadas y desarrolladas desde el reinicio contractual se destacan:</w:t>
      </w:r>
    </w:p>
    <w:p w14:paraId="60A8E507"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4A671954" w14:textId="77777777" w:rsidR="00FF1F16" w:rsidRDefault="004A6500">
      <w:pPr>
        <w:numPr>
          <w:ilvl w:val="0"/>
          <w:numId w:val="5"/>
        </w:numPr>
        <w:pBdr>
          <w:top w:val="nil"/>
          <w:left w:val="nil"/>
          <w:bottom w:val="nil"/>
          <w:right w:val="nil"/>
          <w:between w:val="nil"/>
        </w:pBdr>
        <w:spacing w:before="240"/>
        <w:jc w:val="both"/>
        <w:rPr>
          <w:rFonts w:ascii="Arial Narrow" w:eastAsia="Arial Narrow" w:hAnsi="Arial Narrow" w:cs="Arial Narrow"/>
          <w:sz w:val="24"/>
          <w:szCs w:val="24"/>
        </w:rPr>
      </w:pPr>
      <w:r>
        <w:rPr>
          <w:rFonts w:ascii="Arial Narrow" w:eastAsia="Arial Narrow" w:hAnsi="Arial Narrow" w:cs="Arial Narrow"/>
          <w:sz w:val="24"/>
          <w:szCs w:val="24"/>
        </w:rPr>
        <w:t>Complemento de la zona de mantenimiento mediante estructura metálica tipo hangar y áreas técnicas de almacenamiento.</w:t>
      </w:r>
    </w:p>
    <w:p w14:paraId="704398E9" w14:textId="77777777"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Construcción de cárcamos para mantenimiento y reparación inferior de vehículos.</w:t>
      </w:r>
    </w:p>
    <w:p w14:paraId="6C4E03F9" w14:textId="77777777"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Instalación y avance de la red contra incendios en zonas administrativas y de mantenimiento, incluyendo infraestructura para almacenamiento y bombeo de agua.</w:t>
      </w:r>
    </w:p>
    <w:p w14:paraId="07FB65DD" w14:textId="77777777"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Implementación de la Planta de Tratamiento de Aguas Residuales mediante sistemas prefabricados de alta capacidad y componentes para manejo y tratamiento de aguas.</w:t>
      </w:r>
    </w:p>
    <w:p w14:paraId="527F933F" w14:textId="77777777"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Desarrollo de carriles de aceleración y desaceleración para acceso operacional al patio.</w:t>
      </w:r>
    </w:p>
    <w:p w14:paraId="0340A810" w14:textId="77777777" w:rsidR="00FF1F16" w:rsidRDefault="004A6500">
      <w:pPr>
        <w:numPr>
          <w:ilvl w:val="0"/>
          <w:numId w:val="5"/>
        </w:numPr>
        <w:pBdr>
          <w:top w:val="nil"/>
          <w:left w:val="nil"/>
          <w:bottom w:val="nil"/>
          <w:right w:val="nil"/>
          <w:between w:val="nil"/>
        </w:pBdr>
        <w:spacing w:after="240"/>
        <w:jc w:val="both"/>
        <w:rPr>
          <w:rFonts w:ascii="Arial Narrow" w:eastAsia="Arial Narrow" w:hAnsi="Arial Narrow" w:cs="Arial Narrow"/>
          <w:sz w:val="24"/>
          <w:szCs w:val="24"/>
        </w:rPr>
      </w:pPr>
      <w:r>
        <w:rPr>
          <w:rFonts w:ascii="Arial Narrow" w:eastAsia="Arial Narrow" w:hAnsi="Arial Narrow" w:cs="Arial Narrow"/>
          <w:sz w:val="24"/>
          <w:szCs w:val="24"/>
        </w:rPr>
        <w:t>Avances en el edificio administrativo mediante instalación de aparatos sanitarios y adecuación de baterías de baños.</w:t>
      </w:r>
    </w:p>
    <w:p w14:paraId="627C2EEC"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Resultados obtenidos:</w:t>
      </w:r>
    </w:p>
    <w:p w14:paraId="51210E05" w14:textId="77777777"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Como resultado de las gestiones administrativas, presupuestales y contractuales adelantadas, el proyecto Patio y Taller Occidente registra un importante </w:t>
      </w:r>
      <w:r>
        <w:rPr>
          <w:rFonts w:ascii="Arial Narrow" w:eastAsia="Arial Narrow" w:hAnsi="Arial Narrow" w:cs="Arial Narrow"/>
          <w:b/>
          <w:bCs/>
          <w:sz w:val="24"/>
          <w:szCs w:val="24"/>
        </w:rPr>
        <w:t>avance físico del 94%</w:t>
      </w:r>
      <w:r>
        <w:rPr>
          <w:rFonts w:ascii="Arial Narrow" w:eastAsia="Arial Narrow" w:hAnsi="Arial Narrow" w:cs="Arial Narrow"/>
          <w:sz w:val="24"/>
          <w:szCs w:val="24"/>
        </w:rPr>
        <w:t xml:space="preserve"> con corte al 30 de abril de 2026, consolidando la continuidad de obras estratégicas asociadas a mantenimiento, seguridad contra incendios, tratamiento de aguas, accesos operacionales y adecuaciones del edificio administrativo, bajo un esquema contractual y financiero actualizado para su culminación.</w:t>
      </w:r>
    </w:p>
    <w:p w14:paraId="7C23B113"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tbl>
      <w:tblPr>
        <w:tblStyle w:val="a6"/>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14:paraId="4A59C324" w14:textId="77777777">
        <w:trPr>
          <w:trHeight w:val="270"/>
          <w:jc w:val="center"/>
        </w:trPr>
        <w:tc>
          <w:tcPr>
            <w:tcW w:w="5187" w:type="dxa"/>
            <w:shd w:val="clear" w:color="auto" w:fill="D0CECE"/>
            <w:vAlign w:val="center"/>
          </w:tcPr>
          <w:p w14:paraId="004D2F40"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lastRenderedPageBreak/>
              <w:t>Acción</w:t>
            </w:r>
          </w:p>
        </w:tc>
        <w:tc>
          <w:tcPr>
            <w:tcW w:w="1450" w:type="dxa"/>
            <w:shd w:val="clear" w:color="auto" w:fill="D0CECE"/>
            <w:vAlign w:val="center"/>
          </w:tcPr>
          <w:p w14:paraId="2C1A5BC7"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Responsable</w:t>
            </w:r>
          </w:p>
        </w:tc>
        <w:tc>
          <w:tcPr>
            <w:tcW w:w="2776" w:type="dxa"/>
            <w:shd w:val="clear" w:color="auto" w:fill="D0CECE"/>
            <w:vAlign w:val="center"/>
          </w:tcPr>
          <w:p w14:paraId="0A3FBD9C" w14:textId="77777777"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Fecha</w:t>
            </w:r>
          </w:p>
        </w:tc>
      </w:tr>
      <w:tr w:rsidR="00FF1F16" w14:paraId="48B8321D" w14:textId="77777777">
        <w:trPr>
          <w:trHeight w:val="13"/>
          <w:jc w:val="center"/>
        </w:trPr>
        <w:tc>
          <w:tcPr>
            <w:tcW w:w="5187" w:type="dxa"/>
            <w:vAlign w:val="center"/>
          </w:tcPr>
          <w:p w14:paraId="70A02221"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Reinicio del contrato </w:t>
            </w:r>
          </w:p>
        </w:tc>
        <w:tc>
          <w:tcPr>
            <w:tcW w:w="1450" w:type="dxa"/>
            <w:vAlign w:val="center"/>
          </w:tcPr>
          <w:p w14:paraId="4A4A34F6"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14:paraId="1BDEADA4"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30 </w:t>
            </w:r>
            <w:proofErr w:type="gramStart"/>
            <w:r>
              <w:rPr>
                <w:rFonts w:ascii="Arial Narrow" w:eastAsia="Arial Narrow" w:hAnsi="Arial Narrow" w:cs="Arial Narrow"/>
                <w:sz w:val="24"/>
                <w:szCs w:val="24"/>
              </w:rPr>
              <w:t>Junio</w:t>
            </w:r>
            <w:proofErr w:type="gramEnd"/>
            <w:r>
              <w:rPr>
                <w:rFonts w:ascii="Arial Narrow" w:eastAsia="Arial Narrow" w:hAnsi="Arial Narrow" w:cs="Arial Narrow"/>
                <w:sz w:val="24"/>
                <w:szCs w:val="24"/>
              </w:rPr>
              <w:t xml:space="preserve"> 2026</w:t>
            </w:r>
          </w:p>
        </w:tc>
      </w:tr>
      <w:tr w:rsidR="00FF1F16" w14:paraId="29B6DC0F" w14:textId="77777777">
        <w:trPr>
          <w:trHeight w:val="272"/>
          <w:jc w:val="center"/>
        </w:trPr>
        <w:tc>
          <w:tcPr>
            <w:tcW w:w="5187" w:type="dxa"/>
            <w:vAlign w:val="center"/>
          </w:tcPr>
          <w:p w14:paraId="5D674B97"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Finalización de las obras </w:t>
            </w:r>
          </w:p>
        </w:tc>
        <w:tc>
          <w:tcPr>
            <w:tcW w:w="1450" w:type="dxa"/>
            <w:vAlign w:val="center"/>
          </w:tcPr>
          <w:p w14:paraId="5ECBBD84"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14:paraId="49324CBD"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30 Julio 2026</w:t>
            </w:r>
          </w:p>
        </w:tc>
      </w:tr>
      <w:tr w:rsidR="00FF1F16" w14:paraId="4B351281" w14:textId="77777777">
        <w:trPr>
          <w:trHeight w:val="13"/>
          <w:jc w:val="center"/>
        </w:trPr>
        <w:tc>
          <w:tcPr>
            <w:tcW w:w="5187" w:type="dxa"/>
            <w:vAlign w:val="center"/>
          </w:tcPr>
          <w:p w14:paraId="6724E66A"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Liquidación obra Patio y Taller Occidente</w:t>
            </w:r>
          </w:p>
        </w:tc>
        <w:tc>
          <w:tcPr>
            <w:tcW w:w="1450" w:type="dxa"/>
          </w:tcPr>
          <w:p w14:paraId="0DA86ED7"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14:paraId="11B0EB06"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Septiembre 2026</w:t>
            </w:r>
          </w:p>
        </w:tc>
      </w:tr>
    </w:tbl>
    <w:p w14:paraId="4E13CA16" w14:textId="77777777" w:rsidR="00FF1F16" w:rsidRDefault="00FF1F16">
      <w:pPr>
        <w:rPr>
          <w:rFonts w:ascii="Arial Narrow" w:eastAsia="Arial Narrow" w:hAnsi="Arial Narrow" w:cs="Arial Narrow"/>
          <w:color w:val="000000"/>
          <w:sz w:val="24"/>
          <w:szCs w:val="24"/>
        </w:rPr>
      </w:pPr>
    </w:p>
    <w:p w14:paraId="683C850F" w14:textId="77777777"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r>
        <w:rPr>
          <w:rFonts w:ascii="Arial Narrow" w:eastAsia="Arial Narrow" w:hAnsi="Arial Narrow" w:cs="Arial Narrow"/>
          <w:sz w:val="24"/>
          <w:szCs w:val="24"/>
        </w:rPr>
        <w:t>septiembre de 2026.</w:t>
      </w:r>
    </w:p>
    <w:p w14:paraId="74C96CD5" w14:textId="77777777" w:rsidR="00FF1F16" w:rsidRDefault="00FF1F16">
      <w:pPr>
        <w:rPr>
          <w:rFonts w:ascii="Arial Narrow" w:eastAsia="Arial Narrow" w:hAnsi="Arial Narrow" w:cs="Arial Narrow"/>
          <w:b/>
          <w:bCs/>
          <w:sz w:val="24"/>
          <w:szCs w:val="24"/>
        </w:rPr>
      </w:pPr>
    </w:p>
    <w:p w14:paraId="6E612628" w14:textId="77777777" w:rsidR="00FF1F16" w:rsidRDefault="004A6500">
      <w:pPr>
        <w:rPr>
          <w:rFonts w:ascii="Arial Narrow" w:eastAsia="Arial Narrow" w:hAnsi="Arial Narrow" w:cs="Arial Narrow"/>
          <w:b/>
          <w:bCs/>
          <w:color w:val="000000"/>
          <w:sz w:val="24"/>
          <w:szCs w:val="24"/>
        </w:rPr>
      </w:pPr>
      <w:bookmarkStart w:id="2" w:name="_heading=h.795h8qgl7bii" w:colFirst="0" w:colLast="0"/>
      <w:bookmarkEnd w:id="2"/>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Terminar la infraestructura producto de la redistribución de componentes</w:t>
      </w:r>
      <w:r>
        <w:rPr>
          <w:rFonts w:ascii="Arial Narrow" w:eastAsia="Arial Narrow" w:hAnsi="Arial Narrow" w:cs="Arial Narrow"/>
          <w:b/>
          <w:bCs/>
          <w:color w:val="000000"/>
          <w:sz w:val="24"/>
          <w:szCs w:val="24"/>
        </w:rPr>
        <w:t xml:space="preserve"> </w:t>
      </w:r>
    </w:p>
    <w:p w14:paraId="2001B343"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w:t>
      </w:r>
    </w:p>
    <w:p w14:paraId="7C46C603"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diciembre 2028 (se mantiene fecha)</w:t>
      </w:r>
    </w:p>
    <w:p w14:paraId="42275587" w14:textId="77777777" w:rsidR="00FF1F16" w:rsidRDefault="00FF1F16">
      <w:pPr>
        <w:rPr>
          <w:rFonts w:ascii="Arial Narrow" w:eastAsia="Arial Narrow" w:hAnsi="Arial Narrow" w:cs="Arial Narrow"/>
          <w:sz w:val="24"/>
          <w:szCs w:val="24"/>
        </w:rPr>
      </w:pPr>
    </w:p>
    <w:p w14:paraId="7A09005E"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El cumplimiento del compromiso </w:t>
      </w:r>
      <w:proofErr w:type="spellStart"/>
      <w:r>
        <w:rPr>
          <w:rFonts w:ascii="Arial Narrow" w:eastAsia="Arial Narrow" w:hAnsi="Arial Narrow" w:cs="Arial Narrow"/>
          <w:sz w:val="24"/>
          <w:szCs w:val="24"/>
        </w:rPr>
        <w:t>nro</w:t>
      </w:r>
      <w:proofErr w:type="spellEnd"/>
      <w:r>
        <w:rPr>
          <w:rFonts w:ascii="Arial Narrow" w:eastAsia="Arial Narrow" w:hAnsi="Arial Narrow" w:cs="Arial Narrow"/>
          <w:sz w:val="24"/>
          <w:szCs w:val="24"/>
        </w:rPr>
        <w:t xml:space="preserve"> 2, se iniciaría una vez se cumpla con el artículo tercero del artículo 172 de la ley 2294 de 2023.</w:t>
      </w:r>
    </w:p>
    <w:p w14:paraId="46601EAB" w14:textId="77777777" w:rsidR="00FF1F16" w:rsidRDefault="00FF1F16">
      <w:pPr>
        <w:rPr>
          <w:rFonts w:ascii="Arial Narrow" w:eastAsia="Arial Narrow" w:hAnsi="Arial Narrow" w:cs="Arial Narrow"/>
          <w:b/>
          <w:bCs/>
          <w:sz w:val="24"/>
          <w:szCs w:val="24"/>
        </w:rPr>
      </w:pPr>
    </w:p>
    <w:p w14:paraId="70855E29"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7. </w:t>
      </w:r>
      <w:r>
        <w:rPr>
          <w:rFonts w:ascii="Arial Narrow" w:eastAsia="Arial Narrow" w:hAnsi="Arial Narrow" w:cs="Arial Narrow"/>
          <w:b/>
          <w:bCs/>
          <w:color w:val="000000"/>
          <w:sz w:val="24"/>
          <w:szCs w:val="24"/>
        </w:rPr>
        <w:t>INICIO DE OPERACIÓN PROYECTADO.</w:t>
      </w:r>
    </w:p>
    <w:p w14:paraId="477A3525" w14:textId="77777777" w:rsidR="00FF1F16" w:rsidRDefault="004A6500">
      <w:pPr>
        <w:rPr>
          <w:rFonts w:ascii="Arial Narrow" w:eastAsia="Arial Narrow" w:hAnsi="Arial Narrow" w:cs="Arial Narrow"/>
          <w:b/>
          <w:bCs/>
          <w:color w:val="000000"/>
          <w:sz w:val="24"/>
          <w:szCs w:val="24"/>
        </w:rPr>
      </w:pPr>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Adelantar las actividades para la puesta en operación del 60% de las rutas SETP</w:t>
      </w:r>
      <w:r>
        <w:rPr>
          <w:rFonts w:ascii="Arial Narrow" w:eastAsia="Arial Narrow" w:hAnsi="Arial Narrow" w:cs="Arial Narrow"/>
          <w:b/>
          <w:bCs/>
          <w:color w:val="000000"/>
          <w:sz w:val="24"/>
          <w:szCs w:val="24"/>
        </w:rPr>
        <w:t xml:space="preserve"> </w:t>
      </w:r>
    </w:p>
    <w:p w14:paraId="365595CC"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 + Municipio</w:t>
      </w:r>
    </w:p>
    <w:p w14:paraId="0C608649"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junio 2026</w:t>
      </w:r>
    </w:p>
    <w:p w14:paraId="6E0C4375" w14:textId="77777777" w:rsidR="00FF1F16" w:rsidRDefault="00FF1F16">
      <w:pPr>
        <w:rPr>
          <w:rFonts w:ascii="Arial Narrow" w:eastAsia="Arial Narrow" w:hAnsi="Arial Narrow" w:cs="Arial Narrow"/>
          <w:b/>
          <w:bCs/>
          <w:sz w:val="24"/>
          <w:szCs w:val="24"/>
        </w:rPr>
      </w:pPr>
    </w:p>
    <w:p w14:paraId="6784CE65" w14:textId="77777777"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14:paraId="6CEEF24C"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El inicio progresivo de operación del SETP se encuentra asociado al avance concurrente de componentes tecnológicos, administrativos, financieros y operacionales requeridos para garantizar condiciones de viabilidad y sostenibilidad del sistema.</w:t>
      </w:r>
    </w:p>
    <w:p w14:paraId="25D2463F"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En concordancia con la implementación tecnológica prevista para el SETP, el Ente Gestor ha mantenido las gestiones asociadas al contrato tecnológico No. 246 de 2023 y a las actividades requeridas para el suministro, instalación, parametrización y puesta en funcionamiento de los sistemas de recaudo, control y gestión de flota e información al usuario.</w:t>
      </w:r>
    </w:p>
    <w:p w14:paraId="0EDDA373"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 xml:space="preserve">De igual manera, se ha identificado que el inicio progresivo de operación requiere la consolidación de condiciones habilitantes relacionadas con la implementación tecnológica, el cierre técnico y administrativo del </w:t>
      </w:r>
      <w:proofErr w:type="gramStart"/>
      <w:r>
        <w:rPr>
          <w:rFonts w:ascii="Arial Narrow" w:eastAsia="Arial Narrow" w:hAnsi="Arial Narrow" w:cs="Arial Narrow"/>
          <w:sz w:val="24"/>
          <w:szCs w:val="24"/>
        </w:rPr>
        <w:t>sistema,  la</w:t>
      </w:r>
      <w:proofErr w:type="gramEnd"/>
      <w:r>
        <w:rPr>
          <w:rFonts w:ascii="Arial Narrow" w:eastAsia="Arial Narrow" w:hAnsi="Arial Narrow" w:cs="Arial Narrow"/>
          <w:sz w:val="24"/>
          <w:szCs w:val="24"/>
        </w:rPr>
        <w:t xml:space="preserve"> articulación institucional y otro factor muy importante es el de la conciliación con transportadores, todas las anteriores necesarias para la prestación del servicio.</w:t>
      </w:r>
    </w:p>
    <w:p w14:paraId="67D42DF8"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En este marco, la interventoría ITS y la implementación progresiva del SGCF, SRC y SIU constituyen componentes necesarios dentro del proceso de preparación para la futura entrada en operación del SETP.</w:t>
      </w:r>
    </w:p>
    <w:p w14:paraId="51F46FF7" w14:textId="77777777" w:rsidR="00FF1F16" w:rsidRDefault="00FF1F16">
      <w:pPr>
        <w:rPr>
          <w:rFonts w:ascii="Arial Narrow" w:eastAsia="Arial Narrow" w:hAnsi="Arial Narrow" w:cs="Arial Narrow"/>
          <w:b/>
          <w:bCs/>
          <w:sz w:val="24"/>
          <w:szCs w:val="24"/>
        </w:rPr>
      </w:pPr>
    </w:p>
    <w:p w14:paraId="29782DA6"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Adelantar las actividades para la puesta en operación del 100% de las rutas SETP.</w:t>
      </w:r>
    </w:p>
    <w:p w14:paraId="027C07C2"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Responsable:</w:t>
      </w:r>
      <w:r>
        <w:rPr>
          <w:rFonts w:ascii="Arial Narrow" w:eastAsia="Arial Narrow" w:hAnsi="Arial Narrow" w:cs="Arial Narrow"/>
          <w:sz w:val="24"/>
          <w:szCs w:val="24"/>
        </w:rPr>
        <w:t xml:space="preserve"> Ente Gestor + Municipio</w:t>
      </w:r>
    </w:p>
    <w:p w14:paraId="6B4257C5"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octubre 2027 (no se modifica la fecha)</w:t>
      </w:r>
    </w:p>
    <w:p w14:paraId="6B2E068B" w14:textId="77777777" w:rsidR="00FF1F16" w:rsidRDefault="00FF1F16">
      <w:pPr>
        <w:pBdr>
          <w:top w:val="nil"/>
          <w:left w:val="nil"/>
          <w:bottom w:val="nil"/>
          <w:right w:val="nil"/>
          <w:between w:val="nil"/>
        </w:pBdr>
        <w:spacing w:after="200"/>
        <w:jc w:val="both"/>
        <w:rPr>
          <w:rFonts w:ascii="Arial Narrow" w:eastAsia="Arial Narrow" w:hAnsi="Arial Narrow" w:cs="Arial Narrow"/>
          <w:sz w:val="24"/>
          <w:szCs w:val="24"/>
        </w:rPr>
      </w:pPr>
    </w:p>
    <w:p w14:paraId="5FBDFB81" w14:textId="77777777" w:rsidR="00FF1F16" w:rsidRDefault="004A6500">
      <w:pPr>
        <w:spacing w:after="200"/>
        <w:jc w:val="both"/>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p>
    <w:p w14:paraId="16666B31"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La puesta en operación del 100% de las rutas proyectadas para el SETP se encuentra asociada al cumplimiento progresivo de condiciones técnicas, tecnológicas, administrativas, financieras y operacionales necesarias para la implementación integral del sistema.</w:t>
      </w:r>
    </w:p>
    <w:p w14:paraId="722AFCC8"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En concordancia con lo expuesto en la problemática No. 4 relacionada con la implementación tecnológica del SETP, el Ente Gestor ha mantenido las gestiones asociadas al contrato tecnológico No. 246 de 2023 y al proceso requerido para el suministro, instalación, parametrización y puesta en funcionamiento de los sistemas de recaudo, control y gestión de flota e información al usuario.</w:t>
      </w:r>
    </w:p>
    <w:p w14:paraId="76307785"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De igual manera, se ha identificado que la operación integral del sistema requiere la consolidación de condiciones habilitantes relacionadas con la implementación tecnológica, la definición del esquema operacional, el cierre administrativo y financiero y la articulación institucional requerida para la prestación del servicio.</w:t>
      </w:r>
    </w:p>
    <w:p w14:paraId="3C6614B0"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En este marco, la interventoría ITS, el cierre técnico, legal y financiero del contrato tecnológico y la implementación progresiva del SGCF, SRC y SIU constituyen componentes necesarios dentro del proceso de preparación y consolidación de condiciones para la futura operación integral del SETP y la puesta en funcionamiento del 100% de las rutas proyectadas.</w:t>
      </w:r>
    </w:p>
    <w:p w14:paraId="33348904" w14:textId="77777777" w:rsidR="00FF1F16" w:rsidRDefault="00FF1F16">
      <w:pPr>
        <w:pBdr>
          <w:top w:val="nil"/>
          <w:left w:val="nil"/>
          <w:bottom w:val="nil"/>
          <w:right w:val="nil"/>
          <w:between w:val="nil"/>
        </w:pBdr>
        <w:spacing w:after="200"/>
        <w:jc w:val="both"/>
        <w:rPr>
          <w:rFonts w:ascii="Arial Narrow" w:eastAsia="Arial Narrow" w:hAnsi="Arial Narrow" w:cs="Arial Narrow"/>
        </w:rPr>
      </w:pPr>
    </w:p>
    <w:p w14:paraId="01793992" w14:textId="77777777" w:rsidR="00FF1F16" w:rsidRDefault="00FF1F16">
      <w:pPr>
        <w:pBdr>
          <w:top w:val="nil"/>
          <w:left w:val="nil"/>
          <w:bottom w:val="nil"/>
          <w:right w:val="nil"/>
          <w:between w:val="nil"/>
        </w:pBdr>
        <w:spacing w:after="200"/>
        <w:jc w:val="both"/>
        <w:rPr>
          <w:rFonts w:ascii="Arial Narrow" w:eastAsia="Arial Narrow" w:hAnsi="Arial Narrow" w:cs="Arial Narrow"/>
        </w:rPr>
      </w:pPr>
    </w:p>
    <w:p w14:paraId="22A244B9" w14:textId="77777777" w:rsidR="00FF1F16" w:rsidRDefault="00FF1F16">
      <w:pPr>
        <w:pBdr>
          <w:top w:val="nil"/>
          <w:left w:val="nil"/>
          <w:bottom w:val="nil"/>
          <w:right w:val="nil"/>
          <w:between w:val="nil"/>
        </w:pBdr>
        <w:spacing w:after="200"/>
        <w:jc w:val="both"/>
        <w:rPr>
          <w:rFonts w:ascii="Arial Narrow" w:eastAsia="Arial Narrow" w:hAnsi="Arial Narrow" w:cs="Arial Narrow"/>
        </w:rPr>
      </w:pPr>
    </w:p>
    <w:p w14:paraId="463326E7"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33684C04"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Como resultado del proceso adelantado para la implementación tecnológica del SETP, se mantiene vigente el contrato No. 246 de 2023 asociado al suministro, instalación, parametrización y puesta en funcionamiento de los sistemas tecnológicos del sistema.</w:t>
      </w:r>
    </w:p>
    <w:p w14:paraId="4338FA63"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De igual manera, se cuenta con aproximadamente 200 kits tecnológicos nacionalizados, destinados a la futura implementación de los componentes de recaudo, control y gestión de flota e información al usuario, constituyéndose en un avance tangible dentro del proceso de preparación tecnológica del SETP.</w:t>
      </w:r>
    </w:p>
    <w:p w14:paraId="7BEA85FF" w14:textId="77777777"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Así mismo, se identificó la necesidad de consolidar la interventoría ITS como componente requerido para avanzar en el cierre técnico, legal y financiero del contrato tecnológico y en los procesos de instalación, verificación y futura puesta en funcionamiento del SGCF, SRC y SIU, necesarios para la operación integral del sistema y la puesta en funcionamiento del 100% de las rutas proyectadas.</w:t>
      </w:r>
    </w:p>
    <w:p w14:paraId="6F238643" w14:textId="77777777" w:rsidR="00FF1F16" w:rsidRDefault="004A6500">
      <w:pPr>
        <w:spacing w:before="240" w:after="240"/>
        <w:jc w:val="both"/>
        <w:rPr>
          <w:rFonts w:ascii="Arial Narrow" w:eastAsia="Arial Narrow" w:hAnsi="Arial Narrow" w:cs="Arial Narrow"/>
          <w:b/>
          <w:bCs/>
          <w:u w:val="single"/>
        </w:rPr>
      </w:pPr>
      <w:r>
        <w:rPr>
          <w:rFonts w:ascii="Arial Narrow" w:eastAsia="Arial Narrow" w:hAnsi="Arial Narrow" w:cs="Arial Narrow"/>
          <w:b/>
          <w:bCs/>
          <w:u w:val="single"/>
        </w:rPr>
        <w:t>Plan de trabajo para cada compromiso, con cronograma y actores implicados.</w:t>
      </w:r>
    </w:p>
    <w:tbl>
      <w:tblPr>
        <w:tblStyle w:val="a7"/>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14:paraId="200B15C6" w14:textId="77777777">
        <w:trPr>
          <w:trHeight w:val="270"/>
          <w:jc w:val="center"/>
        </w:trPr>
        <w:tc>
          <w:tcPr>
            <w:tcW w:w="5187" w:type="dxa"/>
            <w:shd w:val="clear" w:color="auto" w:fill="D0CECE"/>
            <w:vAlign w:val="center"/>
          </w:tcPr>
          <w:p w14:paraId="40E2B7A5"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Acción</w:t>
            </w:r>
          </w:p>
        </w:tc>
        <w:tc>
          <w:tcPr>
            <w:tcW w:w="1450" w:type="dxa"/>
            <w:shd w:val="clear" w:color="auto" w:fill="D0CECE"/>
            <w:vAlign w:val="center"/>
          </w:tcPr>
          <w:p w14:paraId="54ABFFCB"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Responsable</w:t>
            </w:r>
          </w:p>
        </w:tc>
        <w:tc>
          <w:tcPr>
            <w:tcW w:w="2776" w:type="dxa"/>
            <w:shd w:val="clear" w:color="auto" w:fill="D0CECE"/>
            <w:vAlign w:val="center"/>
          </w:tcPr>
          <w:p w14:paraId="6580FA31" w14:textId="77777777" w:rsidR="00FF1F16" w:rsidRDefault="004A6500">
            <w:pPr>
              <w:jc w:val="center"/>
              <w:rPr>
                <w:rFonts w:ascii="Arial Narrow" w:eastAsia="Arial Narrow" w:hAnsi="Arial Narrow" w:cs="Arial Narrow"/>
                <w:b/>
                <w:bCs/>
              </w:rPr>
            </w:pPr>
            <w:r>
              <w:rPr>
                <w:rFonts w:ascii="Arial Narrow" w:eastAsia="Arial Narrow" w:hAnsi="Arial Narrow" w:cs="Arial Narrow"/>
                <w:b/>
                <w:bCs/>
              </w:rPr>
              <w:t>Fecha</w:t>
            </w:r>
          </w:p>
        </w:tc>
      </w:tr>
      <w:tr w:rsidR="00FF1F16" w14:paraId="2254DAE3" w14:textId="77777777">
        <w:trPr>
          <w:trHeight w:val="13"/>
          <w:jc w:val="center"/>
        </w:trPr>
        <w:tc>
          <w:tcPr>
            <w:tcW w:w="5187" w:type="dxa"/>
            <w:vAlign w:val="center"/>
          </w:tcPr>
          <w:p w14:paraId="644F1CF4" w14:textId="77777777" w:rsidR="00FF1F16" w:rsidRDefault="004A6500">
            <w:pPr>
              <w:rPr>
                <w:rFonts w:ascii="Arial Narrow" w:eastAsia="Arial Narrow" w:hAnsi="Arial Narrow" w:cs="Arial Narrow"/>
              </w:rPr>
            </w:pPr>
            <w:r>
              <w:rPr>
                <w:rFonts w:ascii="Arial Narrow" w:eastAsia="Arial Narrow" w:hAnsi="Arial Narrow" w:cs="Arial Narrow"/>
              </w:rPr>
              <w:t>Inicio interventoría</w:t>
            </w:r>
          </w:p>
        </w:tc>
        <w:tc>
          <w:tcPr>
            <w:tcW w:w="1450" w:type="dxa"/>
            <w:vAlign w:val="center"/>
          </w:tcPr>
          <w:p w14:paraId="4A16962E"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5F8C3EDF" w14:textId="77777777"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14:paraId="07DFA9A5" w14:textId="77777777">
        <w:trPr>
          <w:trHeight w:val="272"/>
          <w:jc w:val="center"/>
        </w:trPr>
        <w:tc>
          <w:tcPr>
            <w:tcW w:w="5187" w:type="dxa"/>
            <w:vAlign w:val="center"/>
          </w:tcPr>
          <w:p w14:paraId="2C5E0331" w14:textId="77777777" w:rsidR="00FF1F16" w:rsidRDefault="004A6500">
            <w:pPr>
              <w:rPr>
                <w:rFonts w:ascii="Arial Narrow" w:eastAsia="Arial Narrow" w:hAnsi="Arial Narrow" w:cs="Arial Narrow"/>
              </w:rPr>
            </w:pPr>
            <w:r>
              <w:rPr>
                <w:rFonts w:ascii="Arial Narrow" w:eastAsia="Arial Narrow" w:hAnsi="Arial Narrow" w:cs="Arial Narrow"/>
              </w:rPr>
              <w:t>Reinicio contrato 246 de 2026 (Tecnología SGCF, SGCR y SIU)</w:t>
            </w:r>
          </w:p>
        </w:tc>
        <w:tc>
          <w:tcPr>
            <w:tcW w:w="1450" w:type="dxa"/>
            <w:vAlign w:val="center"/>
          </w:tcPr>
          <w:p w14:paraId="2DAD48A4" w14:textId="77777777" w:rsidR="00FF1F16" w:rsidRDefault="004A6500">
            <w:pPr>
              <w:rPr>
                <w:rFonts w:ascii="Arial Narrow" w:eastAsia="Arial Narrow" w:hAnsi="Arial Narrow" w:cs="Arial Narrow"/>
              </w:rPr>
            </w:pPr>
            <w:r>
              <w:rPr>
                <w:rFonts w:ascii="Arial Narrow" w:eastAsia="Arial Narrow" w:hAnsi="Arial Narrow" w:cs="Arial Narrow"/>
              </w:rPr>
              <w:t>STTM</w:t>
            </w:r>
          </w:p>
        </w:tc>
        <w:tc>
          <w:tcPr>
            <w:tcW w:w="2776" w:type="dxa"/>
            <w:vAlign w:val="center"/>
          </w:tcPr>
          <w:p w14:paraId="6BC88D3F" w14:textId="77777777"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14:paraId="5D44B076" w14:textId="77777777">
        <w:trPr>
          <w:trHeight w:val="216"/>
          <w:jc w:val="center"/>
        </w:trPr>
        <w:tc>
          <w:tcPr>
            <w:tcW w:w="5187" w:type="dxa"/>
            <w:vAlign w:val="center"/>
          </w:tcPr>
          <w:p w14:paraId="2A7BC6E1" w14:textId="77777777" w:rsidR="00FF1F16" w:rsidRDefault="004A6500">
            <w:pPr>
              <w:rPr>
                <w:rFonts w:ascii="Arial Narrow" w:eastAsia="Arial Narrow" w:hAnsi="Arial Narrow" w:cs="Arial Narrow"/>
              </w:rPr>
            </w:pPr>
            <w:r>
              <w:rPr>
                <w:rFonts w:ascii="Arial Narrow" w:eastAsia="Arial Narrow" w:hAnsi="Arial Narrow" w:cs="Arial Narrow"/>
              </w:rPr>
              <w:t>Ejecución Contrato 246 de 2023</w:t>
            </w:r>
          </w:p>
        </w:tc>
        <w:tc>
          <w:tcPr>
            <w:tcW w:w="1450" w:type="dxa"/>
          </w:tcPr>
          <w:p w14:paraId="69897875"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59DF0EB9" w14:textId="77777777" w:rsidR="00FF1F16" w:rsidRDefault="004A6500">
            <w:pPr>
              <w:rPr>
                <w:rFonts w:ascii="Arial Narrow" w:eastAsia="Arial Narrow" w:hAnsi="Arial Narrow" w:cs="Arial Narrow"/>
              </w:rPr>
            </w:pPr>
            <w:r>
              <w:rPr>
                <w:rFonts w:ascii="Arial Narrow" w:eastAsia="Arial Narrow" w:hAnsi="Arial Narrow" w:cs="Arial Narrow"/>
              </w:rPr>
              <w:t>Diciembre de 2026</w:t>
            </w:r>
          </w:p>
        </w:tc>
      </w:tr>
      <w:tr w:rsidR="00FF1F16" w14:paraId="3D196F07" w14:textId="77777777">
        <w:trPr>
          <w:trHeight w:val="13"/>
          <w:jc w:val="center"/>
        </w:trPr>
        <w:tc>
          <w:tcPr>
            <w:tcW w:w="5187" w:type="dxa"/>
            <w:vAlign w:val="center"/>
          </w:tcPr>
          <w:p w14:paraId="2F32963B" w14:textId="77777777" w:rsidR="00FF1F16" w:rsidRDefault="004A6500">
            <w:pPr>
              <w:rPr>
                <w:rFonts w:ascii="Arial Narrow" w:eastAsia="Arial Narrow" w:hAnsi="Arial Narrow" w:cs="Arial Narrow"/>
              </w:rPr>
            </w:pPr>
            <w:r>
              <w:rPr>
                <w:rFonts w:ascii="Arial Narrow" w:eastAsia="Arial Narrow" w:hAnsi="Arial Narrow" w:cs="Arial Narrow"/>
              </w:rPr>
              <w:t>Conformación del operador de recaudo</w:t>
            </w:r>
          </w:p>
        </w:tc>
        <w:tc>
          <w:tcPr>
            <w:tcW w:w="1450" w:type="dxa"/>
          </w:tcPr>
          <w:p w14:paraId="42BA1679"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77FCECE8" w14:textId="77777777" w:rsidR="00FF1F16" w:rsidRDefault="004A6500">
            <w:pPr>
              <w:rPr>
                <w:rFonts w:ascii="Arial Narrow" w:eastAsia="Arial Narrow" w:hAnsi="Arial Narrow" w:cs="Arial Narrow"/>
              </w:rPr>
            </w:pPr>
            <w:r>
              <w:rPr>
                <w:rFonts w:ascii="Arial Narrow" w:eastAsia="Arial Narrow" w:hAnsi="Arial Narrow" w:cs="Arial Narrow"/>
              </w:rPr>
              <w:t>Septiembre de 2026</w:t>
            </w:r>
          </w:p>
        </w:tc>
      </w:tr>
      <w:tr w:rsidR="00FF1F16" w14:paraId="308CB35D" w14:textId="77777777">
        <w:trPr>
          <w:trHeight w:val="13"/>
          <w:jc w:val="center"/>
        </w:trPr>
        <w:tc>
          <w:tcPr>
            <w:tcW w:w="5187" w:type="dxa"/>
            <w:vAlign w:val="center"/>
          </w:tcPr>
          <w:p w14:paraId="13C52501" w14:textId="77777777" w:rsidR="00FF1F16" w:rsidRDefault="004A6500">
            <w:pPr>
              <w:rPr>
                <w:rFonts w:ascii="Arial Narrow" w:eastAsia="Arial Narrow" w:hAnsi="Arial Narrow" w:cs="Arial Narrow"/>
              </w:rPr>
            </w:pPr>
            <w:r>
              <w:rPr>
                <w:rFonts w:ascii="Arial Narrow" w:eastAsia="Arial Narrow" w:hAnsi="Arial Narrow" w:cs="Arial Narrow"/>
              </w:rPr>
              <w:t>Funcionamiento SGCF- SGCR y SIU</w:t>
            </w:r>
          </w:p>
        </w:tc>
        <w:tc>
          <w:tcPr>
            <w:tcW w:w="1450" w:type="dxa"/>
          </w:tcPr>
          <w:p w14:paraId="0D295974"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06597290" w14:textId="77777777" w:rsidR="00FF1F16" w:rsidRDefault="004A6500">
            <w:pPr>
              <w:rPr>
                <w:rFonts w:ascii="Arial Narrow" w:eastAsia="Arial Narrow" w:hAnsi="Arial Narrow" w:cs="Arial Narrow"/>
              </w:rPr>
            </w:pPr>
            <w:r>
              <w:rPr>
                <w:rFonts w:ascii="Arial Narrow" w:eastAsia="Arial Narrow" w:hAnsi="Arial Narrow" w:cs="Arial Narrow"/>
              </w:rPr>
              <w:t>Noviembre de 2026</w:t>
            </w:r>
          </w:p>
        </w:tc>
      </w:tr>
      <w:tr w:rsidR="00FF1F16" w14:paraId="782B656F" w14:textId="77777777">
        <w:trPr>
          <w:trHeight w:val="13"/>
          <w:jc w:val="center"/>
        </w:trPr>
        <w:tc>
          <w:tcPr>
            <w:tcW w:w="5187" w:type="dxa"/>
            <w:vAlign w:val="center"/>
          </w:tcPr>
          <w:p w14:paraId="20C9C157" w14:textId="77777777" w:rsidR="00FF1F16" w:rsidRDefault="004A6500">
            <w:pPr>
              <w:rPr>
                <w:rFonts w:ascii="Arial Narrow" w:eastAsia="Arial Narrow" w:hAnsi="Arial Narrow" w:cs="Arial Narrow"/>
              </w:rPr>
            </w:pPr>
            <w:r>
              <w:rPr>
                <w:rFonts w:ascii="Arial Narrow" w:eastAsia="Arial Narrow" w:hAnsi="Arial Narrow" w:cs="Arial Narrow"/>
              </w:rPr>
              <w:t>Certificación por parte de la interventoría y del STTM del funcionamiento de los sistemas</w:t>
            </w:r>
          </w:p>
        </w:tc>
        <w:tc>
          <w:tcPr>
            <w:tcW w:w="1450" w:type="dxa"/>
          </w:tcPr>
          <w:p w14:paraId="770AF62D" w14:textId="77777777"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14:paraId="7A9318CD" w14:textId="77777777" w:rsidR="00FF1F16" w:rsidRDefault="004A6500">
            <w:pPr>
              <w:rPr>
                <w:rFonts w:ascii="Arial Narrow" w:eastAsia="Arial Narrow" w:hAnsi="Arial Narrow" w:cs="Arial Narrow"/>
              </w:rPr>
            </w:pPr>
            <w:r>
              <w:rPr>
                <w:rFonts w:ascii="Arial Narrow" w:eastAsia="Arial Narrow" w:hAnsi="Arial Narrow" w:cs="Arial Narrow"/>
              </w:rPr>
              <w:t>Noviembre de 2026</w:t>
            </w:r>
          </w:p>
        </w:tc>
      </w:tr>
    </w:tbl>
    <w:p w14:paraId="33DF41FF" w14:textId="77777777" w:rsidR="00FF1F16" w:rsidRDefault="00FF1F16">
      <w:pPr>
        <w:rPr>
          <w:rFonts w:ascii="Arial Narrow" w:eastAsia="Arial Narrow" w:hAnsi="Arial Narrow" w:cs="Arial Narrow"/>
          <w:sz w:val="18"/>
          <w:szCs w:val="18"/>
        </w:rPr>
      </w:pPr>
    </w:p>
    <w:p w14:paraId="16F3920E" w14:textId="77777777" w:rsidR="00FF1F16" w:rsidRDefault="004A6500">
      <w:pPr>
        <w:spacing w:before="240" w:after="240"/>
        <w:jc w:val="both"/>
        <w:rPr>
          <w:rFonts w:ascii="Arial Narrow" w:eastAsia="Arial Narrow" w:hAnsi="Arial Narrow" w:cs="Arial Narrow"/>
        </w:rPr>
      </w:pPr>
      <w:r>
        <w:rPr>
          <w:rFonts w:ascii="Arial Narrow" w:eastAsia="Arial Narrow" w:hAnsi="Arial Narrow" w:cs="Arial Narrow"/>
          <w:b/>
          <w:bCs/>
          <w:u w:val="single"/>
        </w:rPr>
        <w:t>Propuesta de reprogramación de fechas:</w:t>
      </w:r>
      <w:r>
        <w:rPr>
          <w:rFonts w:ascii="Arial Narrow" w:eastAsia="Arial Narrow" w:hAnsi="Arial Narrow" w:cs="Arial Narrow"/>
          <w:b/>
          <w:bCs/>
        </w:rPr>
        <w:t xml:space="preserve"> </w:t>
      </w:r>
    </w:p>
    <w:tbl>
      <w:tblPr>
        <w:tblStyle w:val="a8"/>
        <w:tblW w:w="9255"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75"/>
        <w:gridCol w:w="2640"/>
        <w:gridCol w:w="2940"/>
      </w:tblGrid>
      <w:tr w:rsidR="00FF1F16" w14:paraId="4A5D1C3F" w14:textId="77777777">
        <w:tc>
          <w:tcPr>
            <w:tcW w:w="3675" w:type="dxa"/>
            <w:shd w:val="clear" w:color="auto" w:fill="E7E6E6"/>
          </w:tcPr>
          <w:p w14:paraId="1936E254" w14:textId="77777777" w:rsidR="00FF1F16" w:rsidRDefault="004A6500">
            <w:pPr>
              <w:jc w:val="center"/>
              <w:rPr>
                <w:rFonts w:ascii="Arial Narrow" w:eastAsia="Arial Narrow" w:hAnsi="Arial Narrow" w:cs="Arial Narrow"/>
                <w:b/>
                <w:bCs/>
                <w:sz w:val="20"/>
                <w:szCs w:val="20"/>
              </w:rPr>
            </w:pPr>
            <w:r>
              <w:rPr>
                <w:rFonts w:ascii="Arial Narrow" w:eastAsia="Arial Narrow" w:hAnsi="Arial Narrow" w:cs="Arial Narrow"/>
                <w:b/>
                <w:bCs/>
                <w:sz w:val="20"/>
                <w:szCs w:val="20"/>
              </w:rPr>
              <w:t>Compromiso</w:t>
            </w:r>
          </w:p>
        </w:tc>
        <w:tc>
          <w:tcPr>
            <w:tcW w:w="2640" w:type="dxa"/>
            <w:shd w:val="clear" w:color="auto" w:fill="E7E6E6"/>
          </w:tcPr>
          <w:p w14:paraId="69956FAE" w14:textId="77777777" w:rsidR="00FF1F16" w:rsidRDefault="004A6500">
            <w:pPr>
              <w:jc w:val="center"/>
              <w:rPr>
                <w:rFonts w:ascii="Arial Narrow" w:eastAsia="Arial Narrow" w:hAnsi="Arial Narrow" w:cs="Arial Narrow"/>
                <w:b/>
                <w:bCs/>
                <w:sz w:val="20"/>
                <w:szCs w:val="20"/>
              </w:rPr>
            </w:pPr>
            <w:r>
              <w:rPr>
                <w:rFonts w:ascii="Arial Narrow" w:eastAsia="Arial Narrow" w:hAnsi="Arial Narrow" w:cs="Arial Narrow"/>
                <w:b/>
                <w:bCs/>
                <w:sz w:val="20"/>
                <w:szCs w:val="20"/>
              </w:rPr>
              <w:t>Responsable</w:t>
            </w:r>
          </w:p>
        </w:tc>
        <w:tc>
          <w:tcPr>
            <w:tcW w:w="2940" w:type="dxa"/>
            <w:shd w:val="clear" w:color="auto" w:fill="E7E6E6"/>
          </w:tcPr>
          <w:p w14:paraId="24EA44C6" w14:textId="77777777" w:rsidR="00FF1F16" w:rsidRDefault="004A6500">
            <w:pPr>
              <w:jc w:val="center"/>
              <w:rPr>
                <w:rFonts w:ascii="Arial Narrow" w:eastAsia="Arial Narrow" w:hAnsi="Arial Narrow" w:cs="Arial Narrow"/>
                <w:b/>
                <w:bCs/>
                <w:sz w:val="20"/>
                <w:szCs w:val="20"/>
              </w:rPr>
            </w:pPr>
            <w:r>
              <w:rPr>
                <w:rFonts w:ascii="Arial Narrow" w:eastAsia="Arial Narrow" w:hAnsi="Arial Narrow" w:cs="Arial Narrow"/>
                <w:b/>
                <w:bCs/>
                <w:sz w:val="20"/>
                <w:szCs w:val="20"/>
              </w:rPr>
              <w:t>Nueva fecha</w:t>
            </w:r>
          </w:p>
        </w:tc>
      </w:tr>
      <w:tr w:rsidR="00FF1F16" w14:paraId="75E08D22" w14:textId="77777777">
        <w:trPr>
          <w:trHeight w:val="482"/>
        </w:trPr>
        <w:tc>
          <w:tcPr>
            <w:tcW w:w="3675" w:type="dxa"/>
            <w:vAlign w:val="center"/>
          </w:tcPr>
          <w:p w14:paraId="71117F31" w14:textId="77777777" w:rsidR="00FF1F16" w:rsidRDefault="004A6500">
            <w:pPr>
              <w:numPr>
                <w:ilvl w:val="0"/>
                <w:numId w:val="4"/>
              </w:numPr>
              <w:spacing w:line="240" w:lineRule="auto"/>
              <w:ind w:left="283"/>
              <w:rPr>
                <w:rFonts w:ascii="Arial Narrow" w:eastAsia="Arial Narrow" w:hAnsi="Arial Narrow" w:cs="Arial Narrow"/>
                <w:sz w:val="20"/>
                <w:szCs w:val="20"/>
              </w:rPr>
            </w:pPr>
            <w:r>
              <w:rPr>
                <w:rFonts w:ascii="Arial Narrow" w:eastAsia="Arial Narrow" w:hAnsi="Arial Narrow" w:cs="Arial Narrow"/>
                <w:sz w:val="20"/>
                <w:szCs w:val="20"/>
              </w:rPr>
              <w:t>Cerrar técnica, legal y financieramente el contrato tecnológico.</w:t>
            </w:r>
          </w:p>
          <w:p w14:paraId="474960A1" w14:textId="77777777" w:rsidR="00FF1F16" w:rsidRDefault="00FF1F16">
            <w:pPr>
              <w:rPr>
                <w:rFonts w:ascii="Arial Narrow" w:eastAsia="Arial Narrow" w:hAnsi="Arial Narrow" w:cs="Arial Narrow"/>
                <w:sz w:val="20"/>
                <w:szCs w:val="20"/>
              </w:rPr>
            </w:pPr>
          </w:p>
        </w:tc>
        <w:tc>
          <w:tcPr>
            <w:tcW w:w="2640" w:type="dxa"/>
            <w:vMerge w:val="restart"/>
            <w:vAlign w:val="center"/>
          </w:tcPr>
          <w:p w14:paraId="650CD4A1" w14:textId="77777777"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Ente Gestor</w:t>
            </w:r>
          </w:p>
        </w:tc>
        <w:tc>
          <w:tcPr>
            <w:tcW w:w="2940" w:type="dxa"/>
            <w:vAlign w:val="center"/>
          </w:tcPr>
          <w:p w14:paraId="38462404" w14:textId="77777777"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Mayo 2027</w:t>
            </w:r>
          </w:p>
        </w:tc>
      </w:tr>
      <w:tr w:rsidR="00FF1F16" w14:paraId="70B6AC23" w14:textId="77777777">
        <w:tc>
          <w:tcPr>
            <w:tcW w:w="3675" w:type="dxa"/>
          </w:tcPr>
          <w:p w14:paraId="42934FD5" w14:textId="77777777" w:rsidR="00FF1F16" w:rsidRDefault="004A6500">
            <w:pPr>
              <w:numPr>
                <w:ilvl w:val="0"/>
                <w:numId w:val="4"/>
              </w:numPr>
              <w:spacing w:line="240" w:lineRule="auto"/>
              <w:ind w:left="283"/>
              <w:rPr>
                <w:rFonts w:ascii="Arial Narrow" w:eastAsia="Arial Narrow" w:hAnsi="Arial Narrow" w:cs="Arial Narrow"/>
                <w:sz w:val="20"/>
                <w:szCs w:val="20"/>
              </w:rPr>
            </w:pPr>
            <w:r>
              <w:rPr>
                <w:rFonts w:ascii="Arial Narrow" w:eastAsia="Arial Narrow" w:hAnsi="Arial Narrow" w:cs="Arial Narrow"/>
                <w:sz w:val="20"/>
                <w:szCs w:val="20"/>
              </w:rPr>
              <w:t>Garantizar la instalación del 60% de la tecnología de recaudo y el funcionamiento del SGCF.</w:t>
            </w:r>
          </w:p>
          <w:p w14:paraId="286A693C" w14:textId="77777777" w:rsidR="00FF1F16" w:rsidRDefault="00FF1F16">
            <w:pPr>
              <w:ind w:left="306"/>
              <w:rPr>
                <w:rFonts w:ascii="Arial Narrow" w:eastAsia="Arial Narrow" w:hAnsi="Arial Narrow" w:cs="Arial Narrow"/>
                <w:sz w:val="20"/>
                <w:szCs w:val="20"/>
              </w:rPr>
            </w:pPr>
          </w:p>
        </w:tc>
        <w:tc>
          <w:tcPr>
            <w:tcW w:w="2640" w:type="dxa"/>
            <w:vMerge/>
            <w:vAlign w:val="center"/>
          </w:tcPr>
          <w:p w14:paraId="1553E7E2" w14:textId="77777777" w:rsidR="00FF1F16" w:rsidRDefault="00FF1F16">
            <w:pPr>
              <w:widowControl w:val="0"/>
              <w:rPr>
                <w:rFonts w:ascii="Arial Narrow" w:eastAsia="Arial Narrow" w:hAnsi="Arial Narrow" w:cs="Arial Narrow"/>
                <w:sz w:val="20"/>
                <w:szCs w:val="20"/>
              </w:rPr>
            </w:pPr>
          </w:p>
        </w:tc>
        <w:tc>
          <w:tcPr>
            <w:tcW w:w="2940" w:type="dxa"/>
            <w:vAlign w:val="center"/>
          </w:tcPr>
          <w:p w14:paraId="4EF38EB6" w14:textId="77777777"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Noviembre 2026</w:t>
            </w:r>
          </w:p>
        </w:tc>
      </w:tr>
      <w:tr w:rsidR="00FF1F16" w14:paraId="3CA06848" w14:textId="77777777">
        <w:tc>
          <w:tcPr>
            <w:tcW w:w="3675" w:type="dxa"/>
          </w:tcPr>
          <w:p w14:paraId="2AF6BA9E" w14:textId="77777777" w:rsidR="00FF1F16" w:rsidRDefault="004A6500">
            <w:pPr>
              <w:numPr>
                <w:ilvl w:val="0"/>
                <w:numId w:val="4"/>
              </w:numPr>
              <w:spacing w:line="240" w:lineRule="auto"/>
              <w:ind w:left="283"/>
              <w:rPr>
                <w:rFonts w:ascii="Arial Narrow" w:eastAsia="Arial Narrow" w:hAnsi="Arial Narrow" w:cs="Arial Narrow"/>
                <w:sz w:val="20"/>
                <w:szCs w:val="20"/>
              </w:rPr>
            </w:pPr>
            <w:r>
              <w:rPr>
                <w:rFonts w:ascii="Arial Narrow" w:eastAsia="Arial Narrow" w:hAnsi="Arial Narrow" w:cs="Arial Narrow"/>
                <w:sz w:val="20"/>
                <w:szCs w:val="20"/>
              </w:rPr>
              <w:t>Garantizar la instalación del 100% de la tecnología de recaudo.</w:t>
            </w:r>
          </w:p>
          <w:p w14:paraId="56621BA2" w14:textId="77777777" w:rsidR="00FF1F16" w:rsidRDefault="00FF1F16">
            <w:pPr>
              <w:spacing w:line="240" w:lineRule="auto"/>
              <w:ind w:left="306"/>
              <w:rPr>
                <w:rFonts w:ascii="Arial Narrow" w:eastAsia="Arial Narrow" w:hAnsi="Arial Narrow" w:cs="Arial Narrow"/>
                <w:sz w:val="20"/>
                <w:szCs w:val="20"/>
              </w:rPr>
            </w:pPr>
          </w:p>
        </w:tc>
        <w:tc>
          <w:tcPr>
            <w:tcW w:w="2640" w:type="dxa"/>
            <w:vMerge/>
            <w:vAlign w:val="center"/>
          </w:tcPr>
          <w:p w14:paraId="0CCB06B2" w14:textId="77777777" w:rsidR="00FF1F16" w:rsidRDefault="00FF1F16">
            <w:pPr>
              <w:widowControl w:val="0"/>
              <w:rPr>
                <w:rFonts w:ascii="Arial Narrow" w:eastAsia="Arial Narrow" w:hAnsi="Arial Narrow" w:cs="Arial Narrow"/>
                <w:sz w:val="20"/>
                <w:szCs w:val="20"/>
              </w:rPr>
            </w:pPr>
          </w:p>
        </w:tc>
        <w:tc>
          <w:tcPr>
            <w:tcW w:w="2940" w:type="dxa"/>
            <w:vAlign w:val="center"/>
          </w:tcPr>
          <w:p w14:paraId="63CCA345" w14:textId="77777777"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Mayo 2027</w:t>
            </w:r>
          </w:p>
        </w:tc>
      </w:tr>
    </w:tbl>
    <w:p w14:paraId="70CD604E" w14:textId="77777777" w:rsidR="00FF1F16" w:rsidRDefault="00FF1F16">
      <w:pPr>
        <w:rPr>
          <w:rFonts w:ascii="Arial Narrow" w:eastAsia="Arial Narrow" w:hAnsi="Arial Narrow" w:cs="Arial Narrow"/>
        </w:rPr>
      </w:pPr>
    </w:p>
    <w:p w14:paraId="11F47B7D" w14:textId="77777777" w:rsidR="00FF1F16" w:rsidRDefault="00FF1F16">
      <w:pPr>
        <w:rPr>
          <w:rFonts w:ascii="Arial Narrow" w:eastAsia="Arial Narrow" w:hAnsi="Arial Narrow" w:cs="Arial Narrow"/>
          <w:b/>
          <w:bCs/>
          <w:sz w:val="24"/>
          <w:szCs w:val="24"/>
        </w:rPr>
      </w:pPr>
    </w:p>
    <w:p w14:paraId="6B32144B" w14:textId="77777777" w:rsidR="00FF1F16" w:rsidRDefault="00FF1F16">
      <w:pPr>
        <w:rPr>
          <w:rFonts w:ascii="Arial Narrow" w:eastAsia="Arial Narrow" w:hAnsi="Arial Narrow" w:cs="Arial Narrow"/>
          <w:b/>
          <w:bCs/>
          <w:sz w:val="24"/>
          <w:szCs w:val="24"/>
        </w:rPr>
      </w:pPr>
    </w:p>
    <w:p w14:paraId="7B416FB0" w14:textId="77777777" w:rsidR="00FF1F16" w:rsidRDefault="004A6500">
      <w:pP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8. PROBLEMAS DE DIFERENCIA ENTRE LA TARIFA TÉCNICA Y LA TARIFA AL USUARIO (DÉFICIT OPERACIONAL</w:t>
      </w:r>
    </w:p>
    <w:p w14:paraId="1866A941" w14:textId="77777777" w:rsidR="00FF1F16" w:rsidRDefault="00FF1F16">
      <w:pPr>
        <w:rPr>
          <w:rFonts w:ascii="Arial Narrow" w:eastAsia="Arial Narrow" w:hAnsi="Arial Narrow" w:cs="Arial Narrow"/>
          <w:b/>
          <w:bCs/>
          <w:sz w:val="24"/>
          <w:szCs w:val="24"/>
        </w:rPr>
      </w:pPr>
    </w:p>
    <w:p w14:paraId="3577CEE6"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lastRenderedPageBreak/>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I. Actualizar los modelos financieros y necesidad de recursos en el FET.</w:t>
      </w:r>
    </w:p>
    <w:p w14:paraId="50490E71"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 </w:t>
      </w:r>
    </w:p>
    <w:p w14:paraId="1DBBEA6E"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diciembre 2026</w:t>
      </w:r>
    </w:p>
    <w:p w14:paraId="4D1D4E95" w14:textId="77777777" w:rsidR="00FF1F16" w:rsidRDefault="00FF1F16">
      <w:pPr>
        <w:rPr>
          <w:rFonts w:ascii="Arial Narrow" w:eastAsia="Arial Narrow" w:hAnsi="Arial Narrow" w:cs="Arial Narrow"/>
          <w:b/>
          <w:bCs/>
          <w:sz w:val="24"/>
          <w:szCs w:val="24"/>
        </w:rPr>
      </w:pPr>
    </w:p>
    <w:p w14:paraId="785C950C" w14:textId="77777777"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14:paraId="12CEF548"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ente gestor cuenta con la herramienta del modelo financiero de la ETLF 2019, el cual es actualizado permanentemente, con personal contratista del área de operaciones, atendiendo los análisis, requerimientos de información técnica de las dependencias municipales interesadas e inquietudes manifestadas por transportadores. A partir de los ajustes es posible estimar y analizar el impacto de los cambios en las principales variables que lo componen. En especial, ha tenido en cuenta las condiciones técnicas definidas en el diseño Operativo actualizado en 2023, la flota total disponible en el TPC que se compone de 348 vehículos de 19 y 24 pasajeros. </w:t>
      </w:r>
    </w:p>
    <w:p w14:paraId="28A491D1"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4C7ABD6A"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Se actualizó la canasta de costos con base en la captura de datos de precios de referencia en la ciudad para los componentes de costo variable, excepto Mantenimiento correctivo. Se actualizaron, a corte 31 de marzo de 2026, las variables macroeconómicas de </w:t>
      </w:r>
      <w:proofErr w:type="gramStart"/>
      <w:r>
        <w:rPr>
          <w:rFonts w:ascii="Arial Narrow" w:eastAsia="Arial Narrow" w:hAnsi="Arial Narrow" w:cs="Arial Narrow"/>
          <w:sz w:val="24"/>
          <w:szCs w:val="24"/>
        </w:rPr>
        <w:t>proyección</w:t>
      </w:r>
      <w:proofErr w:type="gramEnd"/>
      <w:r>
        <w:rPr>
          <w:rFonts w:ascii="Arial Narrow" w:eastAsia="Arial Narrow" w:hAnsi="Arial Narrow" w:cs="Arial Narrow"/>
          <w:sz w:val="24"/>
          <w:szCs w:val="24"/>
        </w:rPr>
        <w:t xml:space="preserve"> así como los valores de referencia de los vehículos actuales y nuevos en las tipologías definidas para el SETP. Adicionalmente se incluyeron ajustes en la remuneración de conductores del SETP en lo relacionado con los recargos nocturnos y dominicales en el marco de la Ley 2466 de 2025. Se ajustó la proyección de ingreso de flota teniendo en cuenta la dinámica de salida de vehículos que cumplen la vida </w:t>
      </w:r>
      <w:proofErr w:type="gramStart"/>
      <w:r>
        <w:rPr>
          <w:rFonts w:ascii="Arial Narrow" w:eastAsia="Arial Narrow" w:hAnsi="Arial Narrow" w:cs="Arial Narrow"/>
          <w:sz w:val="24"/>
          <w:szCs w:val="24"/>
        </w:rPr>
        <w:t>útil,  las</w:t>
      </w:r>
      <w:proofErr w:type="gramEnd"/>
      <w:r>
        <w:rPr>
          <w:rFonts w:ascii="Arial Narrow" w:eastAsia="Arial Narrow" w:hAnsi="Arial Narrow" w:cs="Arial Narrow"/>
          <w:sz w:val="24"/>
          <w:szCs w:val="24"/>
        </w:rPr>
        <w:t xml:space="preserve"> necesidades de flota definidas en el Diseño Operacional y el cumplimiento de los porcentajes de flota de cero o bajas emisiones (30% de los vehículos que ingresan al SETP).</w:t>
      </w:r>
    </w:p>
    <w:p w14:paraId="1BC17815"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682878AC"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reprogramación de recursos del convenio contempla la adquisición de una flota eléctrica de 24 o 36 pasajeros. Actualmente, el ajuste de la modelación financiera está sujeta a la validación de la canasta de costos de estos vehículos. Por lo tanto, se requiere del acompañamiento de un especialista o del apoyo del Gobierno Nacional para definir los componentes técnicos detallados y actualizar dicha canasta. </w:t>
      </w:r>
    </w:p>
    <w:p w14:paraId="73AA3D6A" w14:textId="77777777" w:rsidR="00FF1F16" w:rsidRDefault="00FF1F16">
      <w:pPr>
        <w:jc w:val="both"/>
        <w:rPr>
          <w:rFonts w:ascii="Arial Narrow" w:eastAsia="Arial Narrow" w:hAnsi="Arial Narrow" w:cs="Arial Narrow"/>
          <w:sz w:val="24"/>
          <w:szCs w:val="24"/>
        </w:rPr>
      </w:pPr>
    </w:p>
    <w:p w14:paraId="65031107" w14:textId="77777777" w:rsidR="00FF1F16" w:rsidRDefault="004A6500">
      <w:pPr>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14:paraId="41B12DC2" w14:textId="77777777" w:rsidR="00FF1F16" w:rsidRDefault="00FF1F16">
      <w:pPr>
        <w:jc w:val="both"/>
        <w:rPr>
          <w:rFonts w:ascii="Arial Narrow" w:eastAsia="Arial Narrow" w:hAnsi="Arial Narrow" w:cs="Arial Narrow"/>
          <w:b/>
          <w:bCs/>
          <w:sz w:val="24"/>
          <w:szCs w:val="24"/>
          <w:u w:val="single"/>
        </w:rPr>
      </w:pPr>
    </w:p>
    <w:p w14:paraId="45353AC0"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Bajo las condiciones de operación del SETP, las condiciones de demanda estimadas de 70.000 viajes/día, se estima un diferencial tarifario para 2026 de $ 3.282 /pasajero (Tarifa Técnica estimada $ 6.282/pasajero Vs Tarifa Usuario $ 3.000 a partir del segundo semestre de 2026). Tomando como referencia las estimaciones de cierre de 2025, en las que la TT para 2026 estaba en $ 3.507por pasajero, la ampliación del diferencial tarifario estimado actualmente es impulsado por factores como el incremento del salario mínimo, que es la variable empleada para el dimensionamiento de costos personal de los operadores y SRC, el ajuste de la remuneración de los conductores (2,2 conductores por vehículo) con el reconocimiento </w:t>
      </w:r>
      <w:r>
        <w:rPr>
          <w:rFonts w:ascii="Arial Narrow" w:eastAsia="Arial Narrow" w:hAnsi="Arial Narrow" w:cs="Arial Narrow"/>
          <w:sz w:val="24"/>
          <w:szCs w:val="24"/>
        </w:rPr>
        <w:lastRenderedPageBreak/>
        <w:t xml:space="preserve">de los recargos nocturnos y dominicales establecidos en la Ley 2466 de 2025 y una mayor disponibilidad de vehículos (348) frente a los requeridos en el DO para la fase 0 (333 incluyendo flota de reserva). </w:t>
      </w:r>
    </w:p>
    <w:p w14:paraId="261BB856" w14:textId="77777777" w:rsidR="00FF1F16" w:rsidRDefault="00FF1F16">
      <w:pPr>
        <w:jc w:val="both"/>
        <w:rPr>
          <w:rFonts w:ascii="Arial Narrow" w:eastAsia="Arial Narrow" w:hAnsi="Arial Narrow" w:cs="Arial Narrow"/>
          <w:sz w:val="24"/>
          <w:szCs w:val="24"/>
        </w:rPr>
      </w:pPr>
    </w:p>
    <w:p w14:paraId="107B73E4" w14:textId="77777777" w:rsidR="00FF1F16" w:rsidRDefault="004A6500">
      <w:pPr>
        <w:jc w:val="both"/>
        <w:rPr>
          <w:rFonts w:ascii="Arial Narrow" w:eastAsia="Arial Narrow" w:hAnsi="Arial Narrow" w:cs="Arial Narrow"/>
        </w:rPr>
      </w:pPr>
      <w:r>
        <w:rPr>
          <w:rFonts w:ascii="Arial Narrow" w:eastAsia="Arial Narrow" w:hAnsi="Arial Narrow" w:cs="Arial Narrow"/>
          <w:noProof/>
        </w:rPr>
        <w:drawing>
          <wp:inline distT="114300" distB="114300" distL="114300" distR="114300" wp14:anchorId="48C18F53" wp14:editId="44A43DE4">
            <wp:extent cx="5882005" cy="29083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5882005" cy="2908300"/>
                    </a:xfrm>
                    <a:prstGeom prst="rect">
                      <a:avLst/>
                    </a:prstGeom>
                    <a:ln/>
                  </pic:spPr>
                </pic:pic>
              </a:graphicData>
            </a:graphic>
          </wp:inline>
        </w:drawing>
      </w:r>
    </w:p>
    <w:p w14:paraId="6B19B197" w14:textId="77777777" w:rsidR="00FF1F16" w:rsidRDefault="004A6500">
      <w:pPr>
        <w:spacing w:line="240" w:lineRule="auto"/>
        <w:jc w:val="both"/>
        <w:rPr>
          <w:rFonts w:ascii="Arial Narrow" w:eastAsia="Arial Narrow" w:hAnsi="Arial Narrow" w:cs="Arial Narrow"/>
        </w:rPr>
      </w:pPr>
      <w:r>
        <w:rPr>
          <w:rFonts w:ascii="Arial Narrow" w:eastAsia="Arial Narrow" w:hAnsi="Arial Narrow" w:cs="Arial Narrow"/>
          <w:b/>
          <w:bCs/>
        </w:rPr>
        <w:t>Fuente:</w:t>
      </w:r>
      <w:r>
        <w:rPr>
          <w:rFonts w:ascii="Arial Narrow" w:eastAsia="Arial Narrow" w:hAnsi="Arial Narrow" w:cs="Arial Narrow"/>
        </w:rPr>
        <w:t xml:space="preserve"> elaboración propia con base en Modelación financiera mayo 2026</w:t>
      </w:r>
    </w:p>
    <w:p w14:paraId="53BEDDCC" w14:textId="77777777" w:rsidR="00FF1F16" w:rsidRDefault="00FF1F16">
      <w:pPr>
        <w:jc w:val="both"/>
        <w:rPr>
          <w:rFonts w:ascii="Arial Narrow" w:eastAsia="Arial Narrow" w:hAnsi="Arial Narrow" w:cs="Arial Narrow"/>
        </w:rPr>
      </w:pPr>
    </w:p>
    <w:p w14:paraId="5C4FC355"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La modelación permite analizar el comportamiento de la tarifa técnica frente a la variación de la demanda y el efecto sobre el diferencial tarifario del Sistema como se resume en la siguiente tabla:</w:t>
      </w:r>
    </w:p>
    <w:p w14:paraId="7B05871E" w14:textId="77777777" w:rsidR="00FF1F16" w:rsidRDefault="00FF1F16">
      <w:pPr>
        <w:jc w:val="both"/>
        <w:rPr>
          <w:rFonts w:ascii="Arial Narrow" w:eastAsia="Arial Narrow" w:hAnsi="Arial Narrow" w:cs="Arial Narrow"/>
        </w:rPr>
      </w:pPr>
    </w:p>
    <w:tbl>
      <w:tblPr>
        <w:tblStyle w:val="a9"/>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03"/>
        <w:gridCol w:w="1102"/>
        <w:gridCol w:w="1140"/>
        <w:gridCol w:w="885"/>
        <w:gridCol w:w="1290"/>
        <w:gridCol w:w="1170"/>
        <w:gridCol w:w="825"/>
        <w:gridCol w:w="1320"/>
      </w:tblGrid>
      <w:tr w:rsidR="00FF1F16" w14:paraId="0C1BF2A3" w14:textId="77777777">
        <w:trPr>
          <w:trHeight w:val="360"/>
        </w:trPr>
        <w:tc>
          <w:tcPr>
            <w:tcW w:w="2204" w:type="dxa"/>
            <w:gridSpan w:val="2"/>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E1D71AD"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Demanda del Sistema</w:t>
            </w:r>
          </w:p>
        </w:tc>
        <w:tc>
          <w:tcPr>
            <w:tcW w:w="114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14:paraId="6A9EC35A"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Recorrido Km/año</w:t>
            </w:r>
          </w:p>
        </w:tc>
        <w:tc>
          <w:tcPr>
            <w:tcW w:w="885"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14:paraId="67B934CD"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IPK del Sistema/año</w:t>
            </w:r>
          </w:p>
        </w:tc>
        <w:tc>
          <w:tcPr>
            <w:tcW w:w="129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14:paraId="472B85E6"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Tarifa Usuario</w:t>
            </w:r>
          </w:p>
        </w:tc>
        <w:tc>
          <w:tcPr>
            <w:tcW w:w="117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14:paraId="6BBC91D5"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Tarifa Técnica</w:t>
            </w:r>
          </w:p>
        </w:tc>
        <w:tc>
          <w:tcPr>
            <w:tcW w:w="825"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14:paraId="3C338AF2" w14:textId="77777777" w:rsidR="00FF1F16" w:rsidRDefault="0039680D">
            <w:pPr>
              <w:spacing w:line="240" w:lineRule="auto"/>
              <w:jc w:val="center"/>
              <w:rPr>
                <w:rFonts w:ascii="Arial Narrow" w:eastAsia="Arial Narrow" w:hAnsi="Arial Narrow" w:cs="Arial Narrow"/>
                <w:b/>
                <w:bCs/>
                <w:sz w:val="20"/>
                <w:szCs w:val="20"/>
              </w:rPr>
            </w:pPr>
            <w:sdt>
              <w:sdtPr>
                <w:tag w:val="goog_rdk_0"/>
                <w:id w:val="-1840951533"/>
              </w:sdtPr>
              <w:sdtEndPr/>
              <w:sdtContent>
                <w:r w:rsidR="004A6500">
                  <w:rPr>
                    <w:rFonts w:ascii="Arial Unicode MS" w:eastAsia="Arial Unicode MS" w:hAnsi="Arial Unicode MS" w:cs="Arial Unicode MS"/>
                    <w:b/>
                    <w:bCs/>
                    <w:sz w:val="20"/>
                    <w:szCs w:val="20"/>
                  </w:rPr>
                  <w:t>∆ Tarifa Técnica</w:t>
                </w:r>
              </w:sdtContent>
            </w:sdt>
          </w:p>
        </w:tc>
        <w:tc>
          <w:tcPr>
            <w:tcW w:w="132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14:paraId="2066356A"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Diferencial Tarifario</w:t>
            </w:r>
          </w:p>
        </w:tc>
      </w:tr>
      <w:tr w:rsidR="00FF1F16" w14:paraId="418E7D15" w14:textId="77777777">
        <w:trPr>
          <w:trHeight w:val="360"/>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27380380"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Viajes/día</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AEB0664"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Viajes/año</w:t>
            </w:r>
          </w:p>
        </w:tc>
        <w:tc>
          <w:tcPr>
            <w:tcW w:w="114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14:paraId="1560E959" w14:textId="77777777" w:rsidR="00FF1F16" w:rsidRDefault="00FF1F16">
            <w:pPr>
              <w:jc w:val="both"/>
              <w:rPr>
                <w:rFonts w:ascii="Arial Narrow" w:eastAsia="Arial Narrow" w:hAnsi="Arial Narrow" w:cs="Arial Narrow"/>
              </w:rPr>
            </w:pPr>
          </w:p>
        </w:tc>
        <w:tc>
          <w:tcPr>
            <w:tcW w:w="885"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14:paraId="41E4A598" w14:textId="77777777" w:rsidR="00FF1F16" w:rsidRDefault="00FF1F16">
            <w:pPr>
              <w:jc w:val="both"/>
              <w:rPr>
                <w:rFonts w:ascii="Arial Narrow" w:eastAsia="Arial Narrow" w:hAnsi="Arial Narrow" w:cs="Arial Narrow"/>
              </w:rPr>
            </w:pPr>
          </w:p>
        </w:tc>
        <w:tc>
          <w:tcPr>
            <w:tcW w:w="129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14:paraId="7BB17CC6" w14:textId="77777777" w:rsidR="00FF1F16" w:rsidRDefault="00FF1F16">
            <w:pPr>
              <w:jc w:val="both"/>
              <w:rPr>
                <w:rFonts w:ascii="Arial Narrow" w:eastAsia="Arial Narrow" w:hAnsi="Arial Narrow" w:cs="Arial Narrow"/>
              </w:rPr>
            </w:pPr>
          </w:p>
        </w:tc>
        <w:tc>
          <w:tcPr>
            <w:tcW w:w="117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14:paraId="630CBFD9" w14:textId="77777777" w:rsidR="00FF1F16" w:rsidRDefault="00FF1F16">
            <w:pPr>
              <w:jc w:val="both"/>
              <w:rPr>
                <w:rFonts w:ascii="Arial Narrow" w:eastAsia="Arial Narrow" w:hAnsi="Arial Narrow" w:cs="Arial Narrow"/>
              </w:rPr>
            </w:pPr>
          </w:p>
        </w:tc>
        <w:tc>
          <w:tcPr>
            <w:tcW w:w="825"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14:paraId="7B28D4D9" w14:textId="77777777" w:rsidR="00FF1F16" w:rsidRDefault="00FF1F16">
            <w:pPr>
              <w:jc w:val="both"/>
              <w:rPr>
                <w:rFonts w:ascii="Arial Narrow" w:eastAsia="Arial Narrow" w:hAnsi="Arial Narrow" w:cs="Arial Narrow"/>
              </w:rPr>
            </w:pPr>
          </w:p>
        </w:tc>
        <w:tc>
          <w:tcPr>
            <w:tcW w:w="132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14:paraId="687A940C" w14:textId="77777777" w:rsidR="00FF1F16" w:rsidRDefault="00FF1F16">
            <w:pPr>
              <w:jc w:val="both"/>
              <w:rPr>
                <w:rFonts w:ascii="Arial Narrow" w:eastAsia="Arial Narrow" w:hAnsi="Arial Narrow" w:cs="Arial Narrow"/>
              </w:rPr>
            </w:pPr>
          </w:p>
        </w:tc>
      </w:tr>
      <w:tr w:rsidR="00FF1F16" w14:paraId="1D84BF62" w14:textId="77777777">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1261579D"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50.000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3B6AD25D"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14.400.000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0C1519B2"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0878853"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0,74</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0A8596A5"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41F0FE26"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$ 8.770,41</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552D936"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40%</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6663CB8D"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$ 5.770,41</w:t>
            </w:r>
          </w:p>
        </w:tc>
      </w:tr>
      <w:tr w:rsidR="00FF1F16" w14:paraId="730F441C" w14:textId="77777777">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08AEE04E"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60.000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37DFD1AD"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17.280.000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07B9C50"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412860F6"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0,88</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451C842D"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72077EC6"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$ 7.318,84</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4975643"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17%</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5CD50435"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$ 4.318,84</w:t>
            </w:r>
          </w:p>
        </w:tc>
      </w:tr>
      <w:tr w:rsidR="00FF1F16" w14:paraId="7E484B68" w14:textId="77777777">
        <w:trPr>
          <w:trHeight w:val="495"/>
        </w:trPr>
        <w:tc>
          <w:tcPr>
            <w:tcW w:w="1102" w:type="dxa"/>
            <w:tcBorders>
              <w:top w:val="nil"/>
              <w:left w:val="single" w:sz="5" w:space="0" w:color="000000"/>
              <w:bottom w:val="single" w:sz="5" w:space="0" w:color="000000"/>
              <w:right w:val="single" w:sz="5" w:space="0" w:color="000000"/>
            </w:tcBorders>
            <w:shd w:val="clear" w:color="auto" w:fill="F2F2F2"/>
            <w:tcMar>
              <w:top w:w="0" w:type="dxa"/>
              <w:left w:w="100" w:type="dxa"/>
              <w:bottom w:w="0" w:type="dxa"/>
              <w:right w:w="100" w:type="dxa"/>
            </w:tcMar>
          </w:tcPr>
          <w:p w14:paraId="2BB4E4BA"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70.000</w:t>
            </w:r>
          </w:p>
        </w:tc>
        <w:tc>
          <w:tcPr>
            <w:tcW w:w="1102"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55B78577"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20.160.000</w:t>
            </w:r>
          </w:p>
        </w:tc>
        <w:tc>
          <w:tcPr>
            <w:tcW w:w="114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7C881486"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19.537.373</w:t>
            </w:r>
          </w:p>
        </w:tc>
        <w:tc>
          <w:tcPr>
            <w:tcW w:w="88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0B8840E9" w14:textId="77777777"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1,03</w:t>
            </w:r>
          </w:p>
        </w:tc>
        <w:tc>
          <w:tcPr>
            <w:tcW w:w="129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vAlign w:val="bottom"/>
          </w:tcPr>
          <w:p w14:paraId="052ED13D"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proofErr w:type="gramStart"/>
            <w:r>
              <w:rPr>
                <w:rFonts w:ascii="Arial Narrow" w:eastAsia="Arial Narrow" w:hAnsi="Arial Narrow" w:cs="Arial Narrow"/>
                <w:b/>
                <w:bCs/>
                <w:sz w:val="20"/>
                <w:szCs w:val="20"/>
              </w:rPr>
              <w:t>$  3.000</w:t>
            </w:r>
            <w:proofErr w:type="gramEnd"/>
            <w:r>
              <w:rPr>
                <w:rFonts w:ascii="Arial Narrow" w:eastAsia="Arial Narrow" w:hAnsi="Arial Narrow" w:cs="Arial Narrow"/>
                <w:b/>
                <w:bCs/>
                <w:sz w:val="20"/>
                <w:szCs w:val="20"/>
              </w:rPr>
              <w:t>,00</w:t>
            </w:r>
          </w:p>
        </w:tc>
        <w:tc>
          <w:tcPr>
            <w:tcW w:w="117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vAlign w:val="bottom"/>
          </w:tcPr>
          <w:p w14:paraId="701DB32D"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$ 6.282,00</w:t>
            </w:r>
          </w:p>
        </w:tc>
        <w:tc>
          <w:tcPr>
            <w:tcW w:w="82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3E6FB105"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0%</w:t>
            </w:r>
          </w:p>
        </w:tc>
        <w:tc>
          <w:tcPr>
            <w:tcW w:w="132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vAlign w:val="bottom"/>
          </w:tcPr>
          <w:p w14:paraId="5DE6E767"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$ 3.282,00</w:t>
            </w:r>
          </w:p>
        </w:tc>
      </w:tr>
      <w:tr w:rsidR="00FF1F16" w14:paraId="5A60FCFC" w14:textId="77777777">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3681D1B0"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80.000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D561EFC"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23.040.000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BEF7F6A"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0DF7E57F"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1,18</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7A2BE065"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004C89CB"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$ 5.504,37</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134ED10B"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-12%</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51B6517D"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$ 2.504,37</w:t>
            </w:r>
          </w:p>
        </w:tc>
      </w:tr>
      <w:tr w:rsidR="00FF1F16" w14:paraId="0098CAFB" w14:textId="77777777">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55D63406"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90.000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1596BA46"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25.920.000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274DF14"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689EDF53"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1,33</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31EA63EC"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08081660"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$ 4.899,55</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394F18D9"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-22%</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2A790A9C"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$ 1.899,55</w:t>
            </w:r>
          </w:p>
        </w:tc>
      </w:tr>
      <w:tr w:rsidR="00FF1F16" w14:paraId="62905830" w14:textId="77777777">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00AFBD87"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100.000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71069C50"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28.800.000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5A79E36"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2A6D5390" w14:textId="77777777"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1,47</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3F2B7BE7"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023D166D"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$ 4.415,69</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7C920E57"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-30%</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14:paraId="0A3D0909" w14:textId="77777777"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$ 1.415,69</w:t>
            </w:r>
          </w:p>
        </w:tc>
      </w:tr>
      <w:tr w:rsidR="00FF1F16" w14:paraId="09A75170" w14:textId="77777777">
        <w:trPr>
          <w:trHeight w:val="480"/>
        </w:trPr>
        <w:tc>
          <w:tcPr>
            <w:tcW w:w="8834" w:type="dxa"/>
            <w:gridSpan w:val="8"/>
            <w:tcBorders>
              <w:top w:val="nil"/>
              <w:left w:val="nil"/>
              <w:bottom w:val="nil"/>
              <w:right w:val="nil"/>
            </w:tcBorders>
            <w:shd w:val="clear" w:color="auto" w:fill="auto"/>
            <w:tcMar>
              <w:top w:w="0" w:type="dxa"/>
              <w:left w:w="100" w:type="dxa"/>
              <w:bottom w:w="0" w:type="dxa"/>
              <w:right w:w="100" w:type="dxa"/>
            </w:tcMar>
          </w:tcPr>
          <w:p w14:paraId="569412EF" w14:textId="77777777" w:rsidR="00FF1F16" w:rsidRDefault="004A6500">
            <w:pPr>
              <w:jc w:val="both"/>
              <w:rPr>
                <w:rFonts w:ascii="Arial Narrow" w:eastAsia="Arial Narrow" w:hAnsi="Arial Narrow" w:cs="Arial Narrow"/>
              </w:rPr>
            </w:pPr>
            <w:r>
              <w:rPr>
                <w:rFonts w:ascii="Arial Narrow" w:eastAsia="Arial Narrow" w:hAnsi="Arial Narrow" w:cs="Arial Narrow"/>
                <w:b/>
                <w:bCs/>
              </w:rPr>
              <w:t>Fuente:</w:t>
            </w:r>
            <w:r>
              <w:rPr>
                <w:rFonts w:ascii="Arial Narrow" w:eastAsia="Arial Narrow" w:hAnsi="Arial Narrow" w:cs="Arial Narrow"/>
              </w:rPr>
              <w:t xml:space="preserve"> Elaboración Propia con base en Modelación financiera mayo 2026</w:t>
            </w:r>
          </w:p>
        </w:tc>
      </w:tr>
    </w:tbl>
    <w:p w14:paraId="72EBFDC4"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El diferencial tarifario proyectado para el SETP, en el horizonte de modelación (20 años), considerando el ajuste anual de tarifa al usuario de mínimo el 10% del valor vigente, presume </w:t>
      </w:r>
      <w:proofErr w:type="gramStart"/>
      <w:r>
        <w:rPr>
          <w:rFonts w:ascii="Arial Narrow" w:eastAsia="Arial Narrow" w:hAnsi="Arial Narrow" w:cs="Arial Narrow"/>
          <w:sz w:val="24"/>
          <w:szCs w:val="24"/>
        </w:rPr>
        <w:t>un  punto</w:t>
      </w:r>
      <w:proofErr w:type="gramEnd"/>
      <w:r>
        <w:rPr>
          <w:rFonts w:ascii="Arial Narrow" w:eastAsia="Arial Narrow" w:hAnsi="Arial Narrow" w:cs="Arial Narrow"/>
          <w:sz w:val="24"/>
          <w:szCs w:val="24"/>
        </w:rPr>
        <w:t xml:space="preserve"> de equilibrio tarifario entre el año 14 y 15 de operación como se ilustra en la gráfica que se presenta a continuación:</w:t>
      </w:r>
    </w:p>
    <w:p w14:paraId="62733E5D" w14:textId="77777777" w:rsidR="00FF1F16" w:rsidRDefault="00FF1F16">
      <w:pPr>
        <w:jc w:val="both"/>
        <w:rPr>
          <w:rFonts w:ascii="Arial Narrow" w:eastAsia="Arial Narrow" w:hAnsi="Arial Narrow" w:cs="Arial Narrow"/>
        </w:rPr>
      </w:pPr>
    </w:p>
    <w:p w14:paraId="7A2C60DB" w14:textId="77777777" w:rsidR="00FF1F16" w:rsidRDefault="004A6500">
      <w:pPr>
        <w:spacing w:line="240" w:lineRule="auto"/>
        <w:jc w:val="both"/>
        <w:rPr>
          <w:rFonts w:ascii="Arial Narrow" w:eastAsia="Arial Narrow" w:hAnsi="Arial Narrow" w:cs="Arial Narrow"/>
        </w:rPr>
      </w:pPr>
      <w:r>
        <w:rPr>
          <w:rFonts w:ascii="Arial Narrow" w:eastAsia="Arial Narrow" w:hAnsi="Arial Narrow" w:cs="Arial Narrow"/>
        </w:rPr>
        <w:t xml:space="preserve"> </w:t>
      </w:r>
      <w:r>
        <w:rPr>
          <w:rFonts w:ascii="Arial Narrow" w:eastAsia="Arial Narrow" w:hAnsi="Arial Narrow" w:cs="Arial Narrow"/>
          <w:noProof/>
        </w:rPr>
        <w:drawing>
          <wp:inline distT="114300" distB="114300" distL="114300" distR="114300" wp14:anchorId="6BE72C64" wp14:editId="1E9EECFE">
            <wp:extent cx="5539422" cy="3702227"/>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539422" cy="3702227"/>
                    </a:xfrm>
                    <a:prstGeom prst="rect">
                      <a:avLst/>
                    </a:prstGeom>
                    <a:ln/>
                  </pic:spPr>
                </pic:pic>
              </a:graphicData>
            </a:graphic>
          </wp:inline>
        </w:drawing>
      </w:r>
    </w:p>
    <w:p w14:paraId="138CA10E" w14:textId="77777777" w:rsidR="00FF1F16" w:rsidRDefault="004A6500">
      <w:pPr>
        <w:spacing w:line="240" w:lineRule="auto"/>
        <w:jc w:val="both"/>
        <w:rPr>
          <w:rFonts w:ascii="Arial Narrow" w:eastAsia="Arial Narrow" w:hAnsi="Arial Narrow" w:cs="Arial Narrow"/>
        </w:rPr>
      </w:pPr>
      <w:r>
        <w:rPr>
          <w:rFonts w:ascii="Arial Narrow" w:eastAsia="Arial Narrow" w:hAnsi="Arial Narrow" w:cs="Arial Narrow"/>
          <w:b/>
          <w:bCs/>
        </w:rPr>
        <w:t>Fuente</w:t>
      </w:r>
      <w:r>
        <w:rPr>
          <w:rFonts w:ascii="Arial Narrow" w:eastAsia="Arial Narrow" w:hAnsi="Arial Narrow" w:cs="Arial Narrow"/>
        </w:rPr>
        <w:t>: elaboración propia a partir de modelación financiera mayo 2026</w:t>
      </w:r>
    </w:p>
    <w:p w14:paraId="150B545B" w14:textId="77777777" w:rsidR="00FF1F16" w:rsidRDefault="00FF1F16">
      <w:pPr>
        <w:jc w:val="both"/>
        <w:rPr>
          <w:rFonts w:ascii="Arial Narrow" w:eastAsia="Arial Narrow" w:hAnsi="Arial Narrow" w:cs="Arial Narrow"/>
        </w:rPr>
      </w:pPr>
    </w:p>
    <w:p w14:paraId="6EAFD85C" w14:textId="77777777" w:rsidR="00FF1F16" w:rsidRDefault="00FF1F16">
      <w:pPr>
        <w:jc w:val="both"/>
        <w:rPr>
          <w:rFonts w:ascii="Arial Narrow" w:eastAsia="Arial Narrow" w:hAnsi="Arial Narrow" w:cs="Arial Narrow"/>
        </w:rPr>
      </w:pPr>
    </w:p>
    <w:p w14:paraId="6B0C2F31" w14:textId="77777777" w:rsidR="00FF1F16" w:rsidRDefault="00FF1F16">
      <w:pPr>
        <w:jc w:val="both"/>
        <w:rPr>
          <w:rFonts w:ascii="Arial Narrow" w:eastAsia="Arial Narrow" w:hAnsi="Arial Narrow" w:cs="Arial Narrow"/>
        </w:rPr>
      </w:pPr>
    </w:p>
    <w:p w14:paraId="4D7B48AF" w14:textId="77777777" w:rsidR="00FF1F16" w:rsidRDefault="00FF1F16">
      <w:pPr>
        <w:jc w:val="both"/>
        <w:rPr>
          <w:rFonts w:ascii="Arial Narrow" w:eastAsia="Arial Narrow" w:hAnsi="Arial Narrow" w:cs="Arial Narrow"/>
        </w:rPr>
      </w:pPr>
    </w:p>
    <w:p w14:paraId="0DA05258" w14:textId="77777777" w:rsidR="00FF1F16" w:rsidRDefault="00FF1F16">
      <w:pPr>
        <w:jc w:val="both"/>
        <w:rPr>
          <w:rFonts w:ascii="Arial Narrow" w:eastAsia="Arial Narrow" w:hAnsi="Arial Narrow" w:cs="Arial Narrow"/>
        </w:rPr>
      </w:pPr>
    </w:p>
    <w:p w14:paraId="5A83BB9B" w14:textId="77777777" w:rsidR="00FF1F16" w:rsidRDefault="00FF1F16">
      <w:pPr>
        <w:jc w:val="both"/>
        <w:rPr>
          <w:rFonts w:ascii="Arial Narrow" w:eastAsia="Arial Narrow" w:hAnsi="Arial Narrow" w:cs="Arial Narrow"/>
        </w:rPr>
      </w:pPr>
    </w:p>
    <w:p w14:paraId="0AC107A6" w14:textId="77777777" w:rsidR="00FF1F16" w:rsidRDefault="00FF1F16">
      <w:pPr>
        <w:jc w:val="both"/>
        <w:rPr>
          <w:rFonts w:ascii="Arial Narrow" w:eastAsia="Arial Narrow" w:hAnsi="Arial Narrow" w:cs="Arial Narrow"/>
        </w:rPr>
      </w:pPr>
    </w:p>
    <w:p w14:paraId="2A4F12B8" w14:textId="77777777"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p w14:paraId="368DE527" w14:textId="77777777" w:rsidR="00FF1F16" w:rsidRDefault="00FF1F16">
      <w:pPr>
        <w:spacing w:line="240" w:lineRule="auto"/>
        <w:jc w:val="both"/>
        <w:rPr>
          <w:rFonts w:ascii="Arial Narrow" w:eastAsia="Arial Narrow" w:hAnsi="Arial Narrow" w:cs="Arial Narrow"/>
          <w:b/>
          <w:bCs/>
          <w:sz w:val="24"/>
          <w:szCs w:val="24"/>
          <w:u w:val="single"/>
        </w:rPr>
      </w:pPr>
    </w:p>
    <w:tbl>
      <w:tblPr>
        <w:tblStyle w:val="aa"/>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14:paraId="4ED92018" w14:textId="77777777">
        <w:trPr>
          <w:trHeight w:val="270"/>
          <w:jc w:val="center"/>
        </w:trPr>
        <w:tc>
          <w:tcPr>
            <w:tcW w:w="5187" w:type="dxa"/>
            <w:shd w:val="clear" w:color="auto" w:fill="D0CECE"/>
            <w:vAlign w:val="center"/>
          </w:tcPr>
          <w:p w14:paraId="7C9CC781" w14:textId="77777777" w:rsidR="00FF1F16" w:rsidRDefault="004A6500">
            <w:pPr>
              <w:jc w:val="center"/>
              <w:rPr>
                <w:rFonts w:ascii="Arial Narrow" w:eastAsia="Arial Narrow" w:hAnsi="Arial Narrow" w:cs="Arial Narrow"/>
                <w:b/>
                <w:bCs/>
                <w:sz w:val="24"/>
                <w:szCs w:val="24"/>
              </w:rPr>
            </w:pPr>
            <w:r>
              <w:rPr>
                <w:rFonts w:ascii="Arial Narrow" w:eastAsia="Arial Narrow" w:hAnsi="Arial Narrow" w:cs="Arial Narrow"/>
                <w:b/>
                <w:bCs/>
                <w:sz w:val="24"/>
                <w:szCs w:val="24"/>
              </w:rPr>
              <w:t>Acción</w:t>
            </w:r>
          </w:p>
        </w:tc>
        <w:tc>
          <w:tcPr>
            <w:tcW w:w="1450" w:type="dxa"/>
            <w:shd w:val="clear" w:color="auto" w:fill="D0CECE"/>
            <w:vAlign w:val="center"/>
          </w:tcPr>
          <w:p w14:paraId="259EA4DD" w14:textId="77777777" w:rsidR="00FF1F16" w:rsidRDefault="004A6500">
            <w:pPr>
              <w:jc w:val="center"/>
              <w:rPr>
                <w:rFonts w:ascii="Arial Narrow" w:eastAsia="Arial Narrow" w:hAnsi="Arial Narrow" w:cs="Arial Narrow"/>
                <w:b/>
                <w:bCs/>
                <w:sz w:val="24"/>
                <w:szCs w:val="24"/>
              </w:rPr>
            </w:pPr>
            <w:r>
              <w:rPr>
                <w:rFonts w:ascii="Arial Narrow" w:eastAsia="Arial Narrow" w:hAnsi="Arial Narrow" w:cs="Arial Narrow"/>
                <w:b/>
                <w:bCs/>
                <w:sz w:val="24"/>
                <w:szCs w:val="24"/>
              </w:rPr>
              <w:t>Responsable</w:t>
            </w:r>
          </w:p>
        </w:tc>
        <w:tc>
          <w:tcPr>
            <w:tcW w:w="2776" w:type="dxa"/>
            <w:shd w:val="clear" w:color="auto" w:fill="D0CECE"/>
            <w:vAlign w:val="center"/>
          </w:tcPr>
          <w:p w14:paraId="522775A5" w14:textId="77777777" w:rsidR="00FF1F16" w:rsidRDefault="004A6500">
            <w:pPr>
              <w:jc w:val="center"/>
              <w:rPr>
                <w:rFonts w:ascii="Arial Narrow" w:eastAsia="Arial Narrow" w:hAnsi="Arial Narrow" w:cs="Arial Narrow"/>
                <w:b/>
                <w:bCs/>
                <w:sz w:val="24"/>
                <w:szCs w:val="24"/>
              </w:rPr>
            </w:pPr>
            <w:r>
              <w:rPr>
                <w:rFonts w:ascii="Arial Narrow" w:eastAsia="Arial Narrow" w:hAnsi="Arial Narrow" w:cs="Arial Narrow"/>
                <w:b/>
                <w:bCs/>
                <w:sz w:val="24"/>
                <w:szCs w:val="24"/>
              </w:rPr>
              <w:t>Fecha</w:t>
            </w:r>
          </w:p>
        </w:tc>
      </w:tr>
      <w:tr w:rsidR="00FF1F16" w14:paraId="7CC9C6C5" w14:textId="77777777">
        <w:trPr>
          <w:trHeight w:val="417"/>
          <w:jc w:val="center"/>
        </w:trPr>
        <w:tc>
          <w:tcPr>
            <w:tcW w:w="5187" w:type="dxa"/>
            <w:vAlign w:val="center"/>
          </w:tcPr>
          <w:p w14:paraId="7AB11ACC" w14:textId="77777777" w:rsidR="00FF1F16" w:rsidRDefault="004A6500">
            <w:pPr>
              <w:spacing w:line="240" w:lineRule="auto"/>
              <w:rPr>
                <w:rFonts w:ascii="Arial Narrow" w:eastAsia="Arial Narrow" w:hAnsi="Arial Narrow" w:cs="Arial Narrow"/>
                <w:sz w:val="24"/>
                <w:szCs w:val="24"/>
              </w:rPr>
            </w:pPr>
            <w:proofErr w:type="gramStart"/>
            <w:r>
              <w:rPr>
                <w:rFonts w:ascii="Arial Narrow" w:eastAsia="Arial Narrow" w:hAnsi="Arial Narrow" w:cs="Arial Narrow"/>
                <w:sz w:val="24"/>
                <w:szCs w:val="24"/>
              </w:rPr>
              <w:t>Actualización  a</w:t>
            </w:r>
            <w:proofErr w:type="gramEnd"/>
            <w:r>
              <w:rPr>
                <w:rFonts w:ascii="Arial Narrow" w:eastAsia="Arial Narrow" w:hAnsi="Arial Narrow" w:cs="Arial Narrow"/>
                <w:sz w:val="24"/>
                <w:szCs w:val="24"/>
              </w:rPr>
              <w:t xml:space="preserve"> partir de la actualización de ETLF</w:t>
            </w:r>
          </w:p>
        </w:tc>
        <w:tc>
          <w:tcPr>
            <w:tcW w:w="1450" w:type="dxa"/>
            <w:vAlign w:val="center"/>
          </w:tcPr>
          <w:p w14:paraId="775DFB64" w14:textId="77777777"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14:paraId="6B82321F" w14:textId="77777777" w:rsidR="00FF1F16" w:rsidRDefault="004A6500">
            <w:pPr>
              <w:spacing w:before="240" w:after="24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Diciembre de 2026</w:t>
            </w:r>
          </w:p>
        </w:tc>
      </w:tr>
    </w:tbl>
    <w:p w14:paraId="63DB68FA" w14:textId="77777777" w:rsidR="00FF1F16" w:rsidRDefault="00FF1F16">
      <w:pPr>
        <w:rPr>
          <w:rFonts w:ascii="Arial Narrow" w:eastAsia="Arial Narrow" w:hAnsi="Arial Narrow" w:cs="Arial Narrow"/>
          <w:b/>
          <w:bCs/>
          <w:sz w:val="24"/>
          <w:szCs w:val="24"/>
        </w:rPr>
      </w:pPr>
    </w:p>
    <w:p w14:paraId="735730EF" w14:textId="77777777"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Fecha propuesta para cumplimiento</w:t>
      </w:r>
    </w:p>
    <w:p w14:paraId="72FD3329" w14:textId="77777777" w:rsidR="00FF1F16" w:rsidRDefault="00FF1F16">
      <w:pPr>
        <w:rPr>
          <w:rFonts w:ascii="Arial Narrow" w:eastAsia="Arial Narrow" w:hAnsi="Arial Narrow" w:cs="Arial Narrow"/>
          <w:b/>
          <w:bCs/>
          <w:sz w:val="24"/>
          <w:szCs w:val="24"/>
        </w:rPr>
      </w:pPr>
    </w:p>
    <w:p w14:paraId="76A0B349"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II. Analizar e implementar fuentes de financiación para alimentar el FET.</w:t>
      </w:r>
    </w:p>
    <w:p w14:paraId="0E0B006B"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Operador del sistema – Alcaldía – Municipio- secretaria de Tránsito y Transporte – secretaria de Hacienda/Tesorería – </w:t>
      </w:r>
      <w:r>
        <w:rPr>
          <w:rFonts w:ascii="Arial Narrow" w:eastAsia="Arial Narrow" w:hAnsi="Arial Narrow" w:cs="Arial Narrow"/>
          <w:sz w:val="24"/>
          <w:szCs w:val="24"/>
        </w:rPr>
        <w:t>secretaría</w:t>
      </w:r>
      <w:r>
        <w:rPr>
          <w:rFonts w:ascii="Arial Narrow" w:eastAsia="Arial Narrow" w:hAnsi="Arial Narrow" w:cs="Arial Narrow"/>
          <w:color w:val="000000"/>
          <w:sz w:val="24"/>
          <w:szCs w:val="24"/>
        </w:rPr>
        <w:t xml:space="preserve"> de Planeación o quien haga sus veces – Oficina Jurídica Contractual </w:t>
      </w:r>
    </w:p>
    <w:p w14:paraId="571BB6F3"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Numerales a, b y c   4 meses - Numerales d, e, f y g - 5 meses septiembre 2026</w:t>
      </w:r>
    </w:p>
    <w:p w14:paraId="5D467D50" w14:textId="77777777" w:rsidR="00FF1F16" w:rsidRDefault="00FF1F16">
      <w:pPr>
        <w:rPr>
          <w:rFonts w:ascii="Arial Narrow" w:eastAsia="Arial Narrow" w:hAnsi="Arial Narrow" w:cs="Arial Narrow"/>
          <w:b/>
          <w:bCs/>
          <w:sz w:val="24"/>
          <w:szCs w:val="24"/>
        </w:rPr>
      </w:pPr>
    </w:p>
    <w:p w14:paraId="74425B9F" w14:textId="77777777" w:rsidR="00FF1F16" w:rsidRDefault="004A6500">
      <w:pPr>
        <w:rPr>
          <w:rFonts w:ascii="Arial Narrow" w:eastAsia="Arial Narrow" w:hAnsi="Arial Narrow" w:cs="Arial Narrow"/>
          <w:b/>
          <w:bCs/>
          <w:color w:val="000000"/>
          <w:sz w:val="24"/>
          <w:szCs w:val="24"/>
        </w:rPr>
      </w:pPr>
      <w:r>
        <w:rPr>
          <w:rFonts w:ascii="Arial Narrow" w:eastAsia="Arial Narrow" w:hAnsi="Arial Narrow" w:cs="Arial Narrow"/>
          <w:b/>
          <w:bCs/>
          <w:sz w:val="24"/>
          <w:szCs w:val="24"/>
        </w:rPr>
        <w:t>Compromiso 3:</w:t>
      </w:r>
      <w:r>
        <w:rPr>
          <w:rFonts w:ascii="Arial Narrow" w:eastAsia="Arial Narrow" w:hAnsi="Arial Narrow" w:cs="Arial Narrow"/>
          <w:sz w:val="24"/>
          <w:szCs w:val="24"/>
        </w:rPr>
        <w:t xml:space="preserve"> </w:t>
      </w:r>
      <w:r>
        <w:rPr>
          <w:rFonts w:ascii="Arial Narrow" w:eastAsia="Arial Narrow" w:hAnsi="Arial Narrow" w:cs="Arial Narrow"/>
          <w:b/>
          <w:bCs/>
          <w:color w:val="000000"/>
          <w:sz w:val="24"/>
          <w:szCs w:val="24"/>
        </w:rPr>
        <w:t xml:space="preserve">III. Implementación artículo </w:t>
      </w:r>
      <w:proofErr w:type="gramStart"/>
      <w:r>
        <w:rPr>
          <w:rFonts w:ascii="Arial Narrow" w:eastAsia="Arial Narrow" w:hAnsi="Arial Narrow" w:cs="Arial Narrow"/>
          <w:b/>
          <w:bCs/>
          <w:color w:val="000000"/>
          <w:sz w:val="24"/>
          <w:szCs w:val="24"/>
        </w:rPr>
        <w:t>182  de</w:t>
      </w:r>
      <w:proofErr w:type="gramEnd"/>
      <w:r>
        <w:rPr>
          <w:rFonts w:ascii="Arial Narrow" w:eastAsia="Arial Narrow" w:hAnsi="Arial Narrow" w:cs="Arial Narrow"/>
          <w:b/>
          <w:bCs/>
          <w:color w:val="000000"/>
          <w:sz w:val="24"/>
          <w:szCs w:val="24"/>
        </w:rPr>
        <w:t xml:space="preserve"> la ley 2294 de 2023</w:t>
      </w:r>
    </w:p>
    <w:p w14:paraId="30C1E2BE" w14:textId="77777777" w:rsidR="00FF1F16" w:rsidRDefault="004A6500">
      <w:pPr>
        <w:pBdr>
          <w:top w:val="nil"/>
          <w:left w:val="nil"/>
          <w:bottom w:val="nil"/>
          <w:right w:val="nil"/>
          <w:between w:val="nil"/>
        </w:pBdr>
        <w:rPr>
          <w:rFonts w:ascii="Arial Narrow" w:eastAsia="Arial Narrow" w:hAnsi="Arial Narrow" w:cs="Arial Narrow"/>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w:t>
      </w:r>
      <w:r>
        <w:rPr>
          <w:rFonts w:ascii="Arial Narrow" w:eastAsia="Arial Narrow" w:hAnsi="Arial Narrow" w:cs="Arial Narrow"/>
          <w:sz w:val="24"/>
          <w:szCs w:val="24"/>
        </w:rPr>
        <w:t>Ente Gestor</w:t>
      </w:r>
      <w:r>
        <w:rPr>
          <w:rFonts w:ascii="Arial Narrow" w:eastAsia="Arial Narrow" w:hAnsi="Arial Narrow" w:cs="Arial Narrow"/>
          <w:color w:val="000000"/>
          <w:sz w:val="24"/>
          <w:szCs w:val="24"/>
        </w:rPr>
        <w:t xml:space="preserve"> – </w:t>
      </w:r>
      <w:r>
        <w:rPr>
          <w:rFonts w:ascii="Arial Narrow" w:eastAsia="Arial Narrow" w:hAnsi="Arial Narrow" w:cs="Arial Narrow"/>
          <w:sz w:val="24"/>
          <w:szCs w:val="24"/>
        </w:rPr>
        <w:t>Secretaría</w:t>
      </w:r>
      <w:r>
        <w:rPr>
          <w:rFonts w:ascii="Arial Narrow" w:eastAsia="Arial Narrow" w:hAnsi="Arial Narrow" w:cs="Arial Narrow"/>
          <w:color w:val="000000"/>
          <w:sz w:val="24"/>
          <w:szCs w:val="24"/>
        </w:rPr>
        <w:t xml:space="preserve"> de Tránsito y Transporte – </w:t>
      </w:r>
      <w:r>
        <w:rPr>
          <w:rFonts w:ascii="Arial Narrow" w:eastAsia="Arial Narrow" w:hAnsi="Arial Narrow" w:cs="Arial Narrow"/>
          <w:sz w:val="24"/>
          <w:szCs w:val="24"/>
        </w:rPr>
        <w:t>S</w:t>
      </w:r>
      <w:r>
        <w:rPr>
          <w:rFonts w:ascii="Arial Narrow" w:eastAsia="Arial Narrow" w:hAnsi="Arial Narrow" w:cs="Arial Narrow"/>
          <w:color w:val="000000"/>
          <w:sz w:val="24"/>
          <w:szCs w:val="24"/>
        </w:rPr>
        <w:t xml:space="preserve">ecretaria de Hacienda – </w:t>
      </w:r>
      <w:r>
        <w:rPr>
          <w:rFonts w:ascii="Arial Narrow" w:eastAsia="Arial Narrow" w:hAnsi="Arial Narrow" w:cs="Arial Narrow"/>
          <w:sz w:val="24"/>
          <w:szCs w:val="24"/>
        </w:rPr>
        <w:t>Secretaría de Planeación – Secretaria General - Oficina Asesora Jurídica del Municipio</w:t>
      </w:r>
    </w:p>
    <w:p w14:paraId="19244FCB" w14:textId="77777777" w:rsidR="00FF1F16" w:rsidRDefault="004A6500">
      <w:pPr>
        <w:pBdr>
          <w:top w:val="nil"/>
          <w:left w:val="nil"/>
          <w:bottom w:val="nil"/>
          <w:right w:val="nil"/>
          <w:between w:val="nil"/>
        </w:pBdr>
        <w:rPr>
          <w:rFonts w:ascii="Arial Narrow" w:eastAsia="Arial Narrow" w:hAnsi="Arial Narrow" w:cs="Arial Narrow"/>
          <w:sz w:val="24"/>
          <w:szCs w:val="24"/>
        </w:rPr>
      </w:pPr>
      <w:r>
        <w:rPr>
          <w:rFonts w:ascii="Arial Narrow" w:eastAsia="Arial Narrow" w:hAnsi="Arial Narrow" w:cs="Arial Narrow"/>
          <w:sz w:val="24"/>
          <w:szCs w:val="24"/>
        </w:rPr>
        <w:t>Fecha inicial límite: Numerales a, b y c 4 meses junio 2026, Numerales d, e y f diciembre 2026</w:t>
      </w:r>
    </w:p>
    <w:p w14:paraId="2115DE23" w14:textId="77777777" w:rsidR="00FF1F16" w:rsidRDefault="00FF1F16">
      <w:pPr>
        <w:pBdr>
          <w:top w:val="nil"/>
          <w:left w:val="nil"/>
          <w:bottom w:val="nil"/>
          <w:right w:val="nil"/>
          <w:between w:val="nil"/>
        </w:pBdr>
        <w:jc w:val="both"/>
        <w:rPr>
          <w:rFonts w:ascii="Arial Narrow" w:eastAsia="Arial Narrow" w:hAnsi="Arial Narrow" w:cs="Arial Narrow"/>
          <w:sz w:val="24"/>
          <w:szCs w:val="24"/>
        </w:rPr>
      </w:pPr>
    </w:p>
    <w:p w14:paraId="5EF7B1D1" w14:textId="77777777" w:rsidR="00FF1F16" w:rsidRDefault="004A6500">
      <w:pPr>
        <w:pBdr>
          <w:top w:val="nil"/>
          <w:left w:val="nil"/>
          <w:bottom w:val="nil"/>
          <w:right w:val="nil"/>
          <w:between w:val="nil"/>
        </w:pBdr>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14:paraId="5F6D753E"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Se realizan mesas de trabajo coordinadas por el Ente Gestor con la secretaría de hacienda y la secretaría de tránsito, para identificar fuentes de financiación acordes al artículo 182 de la Ley 2294 de 2023. Se convoca a reunión a otras dependencias de la administración municipal para lograr constituir rentas propias para la sostenibilidad financiera del SETP. </w:t>
      </w:r>
    </w:p>
    <w:p w14:paraId="0537AEF5"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El 2 de junio de 2026, mediante radicado No. 20261300331453 desde la secretaría de hacienda, se envía citación a analizar información aportada por la Secretaría General, sobre el estado actual de la propiedad de los paraderos con uso de espacio público, ubicados en inmediaciones del Barrio Bolívar, Facultad de Medicina y Colegio Franciscanas. Así mismo, sobre la verificación de uso del suelo de estos espacios, por parte de la Secretaría de Planeación. De otro lado, se analizará la viabilidad jurídico-administrativa de arrendar uno de los predios de Movilidad Futura, adquirido en marco del convenio de cofinanciación con el gobierno nacional, para destinarlo provisionalmente como el espacio que dispone la Secretaría de Tránsito y Transporte para los vehículos inmovilizados (patios).</w:t>
      </w:r>
    </w:p>
    <w:p w14:paraId="443FA1E7" w14:textId="77777777" w:rsidR="00FF1F16" w:rsidRDefault="00FF1F16">
      <w:pPr>
        <w:pBdr>
          <w:top w:val="nil"/>
          <w:left w:val="nil"/>
          <w:bottom w:val="nil"/>
          <w:right w:val="nil"/>
          <w:between w:val="nil"/>
        </w:pBdr>
        <w:rPr>
          <w:rFonts w:ascii="Arial Narrow" w:eastAsia="Arial Narrow" w:hAnsi="Arial Narrow" w:cs="Arial Narrow"/>
          <w:sz w:val="24"/>
          <w:szCs w:val="24"/>
          <w:highlight w:val="yellow"/>
        </w:rPr>
      </w:pPr>
    </w:p>
    <w:p w14:paraId="5832FDE6" w14:textId="77777777" w:rsidR="00FF1F16" w:rsidRDefault="004A6500">
      <w:pPr>
        <w:pBdr>
          <w:top w:val="nil"/>
          <w:left w:val="nil"/>
          <w:bottom w:val="nil"/>
          <w:right w:val="nil"/>
          <w:between w:val="nil"/>
        </w:pBdr>
        <w:jc w:val="center"/>
        <w:rPr>
          <w:rFonts w:ascii="Arial Narrow" w:eastAsia="Arial Narrow" w:hAnsi="Arial Narrow" w:cs="Arial Narrow"/>
          <w:highlight w:val="yellow"/>
        </w:rPr>
      </w:pPr>
      <w:r>
        <w:rPr>
          <w:rFonts w:ascii="Arial Narrow" w:eastAsia="Arial Narrow" w:hAnsi="Arial Narrow" w:cs="Arial Narrow"/>
          <w:noProof/>
          <w:highlight w:val="yellow"/>
        </w:rPr>
        <w:lastRenderedPageBreak/>
        <w:drawing>
          <wp:inline distT="114300" distB="114300" distL="114300" distR="114300" wp14:anchorId="51F69F12" wp14:editId="7D41445C">
            <wp:extent cx="4371733" cy="3593626"/>
            <wp:effectExtent l="25400" t="25400" r="25400" b="2540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4371733" cy="3593626"/>
                    </a:xfrm>
                    <a:prstGeom prst="rect">
                      <a:avLst/>
                    </a:prstGeom>
                    <a:ln w="25400">
                      <a:solidFill>
                        <a:srgbClr val="FFFFFF"/>
                      </a:solidFill>
                      <a:prstDash val="solid"/>
                    </a:ln>
                  </pic:spPr>
                </pic:pic>
              </a:graphicData>
            </a:graphic>
          </wp:inline>
        </w:drawing>
      </w:r>
    </w:p>
    <w:p w14:paraId="3743385F" w14:textId="77777777" w:rsidR="00FF1F16" w:rsidRDefault="00FF1F16">
      <w:pPr>
        <w:pBdr>
          <w:top w:val="nil"/>
          <w:left w:val="nil"/>
          <w:bottom w:val="nil"/>
          <w:right w:val="nil"/>
          <w:between w:val="nil"/>
        </w:pBdr>
        <w:rPr>
          <w:rFonts w:ascii="Arial Narrow" w:eastAsia="Arial Narrow" w:hAnsi="Arial Narrow" w:cs="Arial Narrow"/>
        </w:rPr>
      </w:pPr>
    </w:p>
    <w:p w14:paraId="28D669DB" w14:textId="77777777" w:rsidR="00FF1F16" w:rsidRDefault="00FF1F16">
      <w:pPr>
        <w:pBdr>
          <w:top w:val="nil"/>
          <w:left w:val="nil"/>
          <w:bottom w:val="nil"/>
          <w:right w:val="nil"/>
          <w:between w:val="nil"/>
        </w:pBdr>
        <w:rPr>
          <w:rFonts w:ascii="Arial Narrow" w:eastAsia="Arial Narrow" w:hAnsi="Arial Narrow" w:cs="Arial Narrow"/>
        </w:rPr>
      </w:pPr>
    </w:p>
    <w:p w14:paraId="44A7CC20" w14:textId="77777777" w:rsidR="00FF1F16" w:rsidRDefault="00FF1F16">
      <w:pPr>
        <w:pBdr>
          <w:top w:val="nil"/>
          <w:left w:val="nil"/>
          <w:bottom w:val="nil"/>
          <w:right w:val="nil"/>
          <w:between w:val="nil"/>
        </w:pBdr>
        <w:rPr>
          <w:rFonts w:ascii="Arial Narrow" w:eastAsia="Arial Narrow" w:hAnsi="Arial Narrow" w:cs="Arial Narrow"/>
        </w:rPr>
      </w:pPr>
    </w:p>
    <w:p w14:paraId="744ED218"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Compromiso 4:</w:t>
      </w:r>
      <w:r>
        <w:rPr>
          <w:rFonts w:ascii="Arial Narrow" w:eastAsia="Arial Narrow" w:hAnsi="Arial Narrow" w:cs="Arial Narrow"/>
          <w:sz w:val="24"/>
          <w:szCs w:val="24"/>
        </w:rPr>
        <w:t xml:space="preserve"> </w:t>
      </w:r>
      <w:r>
        <w:rPr>
          <w:rFonts w:ascii="Arial Narrow" w:eastAsia="Arial Narrow" w:hAnsi="Arial Narrow" w:cs="Arial Narrow"/>
          <w:b/>
          <w:bCs/>
          <w:color w:val="000000"/>
          <w:sz w:val="24"/>
          <w:szCs w:val="24"/>
        </w:rPr>
        <w:t>IV. Mesa UMUS Ente Territorial</w:t>
      </w:r>
      <w:r>
        <w:rPr>
          <w:rFonts w:ascii="Arial Narrow" w:eastAsia="Arial Narrow" w:hAnsi="Arial Narrow" w:cs="Arial Narrow"/>
          <w:color w:val="000000"/>
          <w:sz w:val="24"/>
          <w:szCs w:val="24"/>
        </w:rPr>
        <w:t xml:space="preserve"> - equipo operación y de captura de valor para identificar alternativas de aprovechamiento de la infraestructura del sistema</w:t>
      </w:r>
    </w:p>
    <w:p w14:paraId="0EDEE732" w14:textId="77777777" w:rsidR="00FF1F16" w:rsidRDefault="00FF1F16">
      <w:pPr>
        <w:rPr>
          <w:rFonts w:ascii="Arial Narrow" w:eastAsia="Arial Narrow" w:hAnsi="Arial Narrow" w:cs="Arial Narrow"/>
          <w:b/>
          <w:bCs/>
          <w:sz w:val="24"/>
          <w:szCs w:val="24"/>
        </w:rPr>
      </w:pPr>
    </w:p>
    <w:p w14:paraId="1858220A" w14:textId="77777777" w:rsidR="00FF1F16" w:rsidRDefault="00FF1F16">
      <w:pPr>
        <w:rPr>
          <w:rFonts w:ascii="Arial Narrow" w:eastAsia="Arial Narrow" w:hAnsi="Arial Narrow" w:cs="Arial Narrow"/>
          <w:b/>
          <w:bCs/>
          <w:sz w:val="24"/>
          <w:szCs w:val="24"/>
        </w:rPr>
      </w:pPr>
    </w:p>
    <w:p w14:paraId="081E87F1" w14:textId="77777777"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9. </w:t>
      </w:r>
      <w:r>
        <w:rPr>
          <w:rFonts w:ascii="Arial Narrow" w:eastAsia="Arial Narrow" w:hAnsi="Arial Narrow" w:cs="Arial Narrow"/>
          <w:b/>
          <w:bCs/>
          <w:color w:val="000000"/>
          <w:sz w:val="24"/>
          <w:szCs w:val="24"/>
        </w:rPr>
        <w:t>SOSTENIBILIDAD DE LA OPERACIÓN DEL SISTEMA</w:t>
      </w:r>
    </w:p>
    <w:p w14:paraId="1651E5C5"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 xml:space="preserve">Compromiso </w:t>
      </w:r>
      <w:r>
        <w:rPr>
          <w:rFonts w:ascii="Arial Narrow" w:eastAsia="Arial Narrow" w:hAnsi="Arial Narrow" w:cs="Arial Narrow"/>
          <w:b/>
          <w:bCs/>
          <w:color w:val="000000"/>
          <w:sz w:val="24"/>
          <w:szCs w:val="24"/>
        </w:rPr>
        <w:t>1</w:t>
      </w:r>
      <w:r>
        <w:rPr>
          <w:rFonts w:ascii="Arial Narrow" w:eastAsia="Arial Narrow" w:hAnsi="Arial Narrow" w:cs="Arial Narrow"/>
          <w:color w:val="000000"/>
          <w:sz w:val="24"/>
          <w:szCs w:val="24"/>
        </w:rPr>
        <w:t>. Evaluar y definir alternativas de financiamiento basadas en instrumentos ambientales</w:t>
      </w:r>
    </w:p>
    <w:p w14:paraId="5EE87967"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w:t>
      </w:r>
    </w:p>
    <w:p w14:paraId="17863F29"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Fecha inicial límite:</w:t>
      </w:r>
      <w:r>
        <w:rPr>
          <w:rFonts w:ascii="Arial Narrow" w:eastAsia="Arial Narrow" w:hAnsi="Arial Narrow" w:cs="Arial Narrow"/>
          <w:color w:val="000000"/>
          <w:sz w:val="24"/>
          <w:szCs w:val="24"/>
        </w:rPr>
        <w:t xml:space="preserve"> 1. Evaluación y selección alternativas: hasta junio 2026</w:t>
      </w:r>
    </w:p>
    <w:p w14:paraId="1431BA19" w14:textId="77777777"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 xml:space="preserve">Nueva fecha propuesta: </w:t>
      </w:r>
      <w:r>
        <w:rPr>
          <w:rFonts w:ascii="Arial Narrow" w:eastAsia="Arial Narrow" w:hAnsi="Arial Narrow" w:cs="Arial Narrow"/>
          <w:sz w:val="24"/>
          <w:szCs w:val="24"/>
        </w:rPr>
        <w:t>Hasta junio 2026</w:t>
      </w:r>
    </w:p>
    <w:p w14:paraId="52BD1F62" w14:textId="77777777" w:rsidR="00FF1F16" w:rsidRDefault="00FF1F16">
      <w:pPr>
        <w:rPr>
          <w:rFonts w:ascii="Arial Narrow" w:eastAsia="Arial Narrow" w:hAnsi="Arial Narrow" w:cs="Arial Narrow"/>
          <w:b/>
          <w:bCs/>
          <w:sz w:val="24"/>
          <w:szCs w:val="24"/>
          <w:u w:val="single"/>
        </w:rPr>
      </w:pPr>
    </w:p>
    <w:p w14:paraId="3C69C553" w14:textId="77777777"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14:paraId="40C3C902"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Con el propósito de fortalecer la estructuración de alternativas de financiación para la sostenibilidad del SETP, el Ente Gestor solicitó formalmente al Grupo UMUS asistencia técnica, acompañamiento institucional y la conformación de mesas de trabajo orientadas al análisis y consolidación de proyectos susceptibles de ser presentados ante entidades y mecanismos de financiación.</w:t>
      </w:r>
    </w:p>
    <w:p w14:paraId="320332FC"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14:paraId="3FC7BE8B" w14:textId="77777777"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De manera complementaria, se mantiene articulación institucional orientada al intercambio técnico y revisión de alternativas relacionadas con sostenibilidad financiera, en concordancia con las iniciativas y procesos adelantados en el marco del Fondo de Estabilización Tarifaria – FET y los instrumentos complementarios de financiación del sistema</w:t>
      </w:r>
    </w:p>
    <w:p w14:paraId="6CE5C1E5" w14:textId="77777777" w:rsidR="00FF1F16" w:rsidRDefault="00FF1F16">
      <w:pPr>
        <w:jc w:val="both"/>
        <w:rPr>
          <w:rFonts w:ascii="Arial Narrow" w:eastAsia="Arial Narrow" w:hAnsi="Arial Narrow" w:cs="Arial Narrow"/>
          <w:sz w:val="24"/>
          <w:szCs w:val="24"/>
        </w:rPr>
      </w:pPr>
    </w:p>
    <w:p w14:paraId="454C6182"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Se conformó el Comité de Sostenibilidad ESG, que estará a cargo de la formulación y selección de alternativas, con el acompañamiento del equipo UMUS.</w:t>
      </w:r>
    </w:p>
    <w:p w14:paraId="1E4580AF" w14:textId="77777777" w:rsidR="00FF1F16" w:rsidRDefault="00FF1F16">
      <w:pPr>
        <w:jc w:val="both"/>
        <w:rPr>
          <w:rFonts w:ascii="Arial Narrow" w:eastAsia="Arial Narrow" w:hAnsi="Arial Narrow" w:cs="Arial Narrow"/>
          <w:sz w:val="24"/>
          <w:szCs w:val="24"/>
        </w:rPr>
      </w:pPr>
    </w:p>
    <w:p w14:paraId="6B6685D9" w14:textId="77777777"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Se han realizado acercamientos con la Gobernación del Cauca para la cofinanciación de la alternativa seleccionada; así con la autoridad ambiental (CRC); con quien existe convenio marco interinstitucional vigente, que permita cofinanciar otras alternativas después de haber finalizado en diciembre de 2025 el convenio interadministrativo 578 de 2024  </w:t>
      </w:r>
      <w:r>
        <w:rPr>
          <w:sz w:val="24"/>
          <w:szCs w:val="24"/>
        </w:rPr>
        <w:t>"PROYECTO PILOTO PARA IMPLEMENTAR ACCIONES DE MEJORAMIENTO AMBIENTAL Y PAISAJÍSTICO EN ESTACIONES DEL SISTEMA ESTRATÉGICO DE TRANSPORTE PÚBLICO - SEPT EN LA CIUDAD DE POPAYÁN"</w:t>
      </w:r>
      <w:r>
        <w:rPr>
          <w:rFonts w:ascii="Arial Narrow" w:eastAsia="Arial Narrow" w:hAnsi="Arial Narrow" w:cs="Arial Narrow"/>
          <w:sz w:val="24"/>
          <w:szCs w:val="24"/>
        </w:rPr>
        <w:t xml:space="preserve"> .</w:t>
      </w:r>
    </w:p>
    <w:p w14:paraId="5729D296" w14:textId="77777777" w:rsidR="00FF1F16" w:rsidRDefault="00FF1F16">
      <w:pPr>
        <w:jc w:val="both"/>
        <w:rPr>
          <w:rFonts w:ascii="Arial Narrow" w:eastAsia="Arial Narrow" w:hAnsi="Arial Narrow" w:cs="Arial Narrow"/>
          <w:sz w:val="24"/>
          <w:szCs w:val="24"/>
        </w:rPr>
      </w:pPr>
    </w:p>
    <w:p w14:paraId="7A80AEF6" w14:textId="77777777" w:rsidR="00FF1F16" w:rsidRDefault="00FF1F16">
      <w:pPr>
        <w:jc w:val="both"/>
        <w:rPr>
          <w:rFonts w:ascii="Arial Narrow" w:eastAsia="Arial Narrow" w:hAnsi="Arial Narrow" w:cs="Arial Narrow"/>
          <w:sz w:val="24"/>
          <w:szCs w:val="24"/>
        </w:rPr>
      </w:pPr>
    </w:p>
    <w:p w14:paraId="35C517D7"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2</w:t>
      </w:r>
      <w:r>
        <w:rPr>
          <w:rFonts w:ascii="Arial Narrow" w:eastAsia="Arial Narrow" w:hAnsi="Arial Narrow" w:cs="Arial Narrow"/>
          <w:color w:val="000000"/>
          <w:sz w:val="24"/>
          <w:szCs w:val="24"/>
        </w:rPr>
        <w:t>. Brindar asistencia técnica al Ente Gestor en la estructuración de los proyectos a presentar a las entidades correspondientes para aplicar a fuentes de financiación.</w:t>
      </w:r>
    </w:p>
    <w:p w14:paraId="65307256"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Grupo UMUS </w:t>
      </w:r>
    </w:p>
    <w:p w14:paraId="0E9F4847" w14:textId="77777777"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Fecha inicial límite</w:t>
      </w:r>
      <w:proofErr w:type="gramStart"/>
      <w:r>
        <w:rPr>
          <w:rFonts w:ascii="Arial Narrow" w:eastAsia="Arial Narrow" w:hAnsi="Arial Narrow" w:cs="Arial Narrow"/>
          <w:b/>
          <w:bCs/>
          <w:color w:val="000000"/>
          <w:sz w:val="24"/>
          <w:szCs w:val="24"/>
        </w:rPr>
        <w:t>:</w:t>
      </w:r>
      <w:r>
        <w:rPr>
          <w:rFonts w:ascii="Arial Narrow" w:eastAsia="Arial Narrow" w:hAnsi="Arial Narrow" w:cs="Arial Narrow"/>
          <w:color w:val="000000"/>
          <w:sz w:val="24"/>
          <w:szCs w:val="24"/>
        </w:rPr>
        <w:t xml:space="preserve"> .</w:t>
      </w:r>
      <w:proofErr w:type="gramEnd"/>
      <w:r>
        <w:rPr>
          <w:rFonts w:ascii="Arial Narrow" w:eastAsia="Arial Narrow" w:hAnsi="Arial Narrow" w:cs="Arial Narrow"/>
          <w:color w:val="000000"/>
          <w:sz w:val="24"/>
          <w:szCs w:val="24"/>
        </w:rPr>
        <w:t xml:space="preserve"> Estructuración y consolidación alternativas seleccionadas: hasta junio 2027</w:t>
      </w:r>
    </w:p>
    <w:p w14:paraId="0FA48903" w14:textId="77777777"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14:paraId="3628FAED"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Se solicita al grupo UMUS la asistencia técnica y acompañamiento e igualmente la programación de mesas de trabajo. Se ratifica la fecha límite establecida del mes de junio de 2027.</w:t>
      </w:r>
    </w:p>
    <w:p w14:paraId="5D2F30D6" w14:textId="77777777"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Se espera poder adelantar las gestiones pertinentes para lograr una fuente de financiación.</w:t>
      </w:r>
    </w:p>
    <w:p w14:paraId="76715A4E" w14:textId="77777777" w:rsidR="00FF1F16" w:rsidRDefault="00FF1F16">
      <w:pPr>
        <w:rPr>
          <w:rFonts w:ascii="Arial Narrow" w:eastAsia="Arial Narrow" w:hAnsi="Arial Narrow" w:cs="Arial Narrow"/>
          <w:sz w:val="24"/>
          <w:szCs w:val="24"/>
        </w:rPr>
      </w:pPr>
    </w:p>
    <w:p w14:paraId="75A256FF" w14:textId="77777777" w:rsidR="00FF1F16" w:rsidRDefault="00FF1F16">
      <w:pPr>
        <w:rPr>
          <w:rFonts w:ascii="Arial Narrow" w:eastAsia="Arial Narrow" w:hAnsi="Arial Narrow" w:cs="Arial Narrow"/>
          <w:sz w:val="24"/>
          <w:szCs w:val="24"/>
        </w:rPr>
      </w:pPr>
    </w:p>
    <w:p w14:paraId="6FF06DCB" w14:textId="77777777" w:rsidR="00FF1F16" w:rsidRDefault="00FF1F16">
      <w:pPr>
        <w:spacing w:line="240" w:lineRule="auto"/>
        <w:jc w:val="center"/>
        <w:rPr>
          <w:rFonts w:ascii="Arial Narrow" w:eastAsia="Arial Narrow" w:hAnsi="Arial Narrow" w:cs="Arial Narrow"/>
          <w:b/>
          <w:bCs/>
        </w:rPr>
      </w:pPr>
      <w:bookmarkStart w:id="3" w:name="_heading=h.tz4xefp3c0y" w:colFirst="0" w:colLast="0"/>
      <w:bookmarkEnd w:id="3"/>
    </w:p>
    <w:p w14:paraId="75B0FA02" w14:textId="77777777" w:rsidR="00FF1F16" w:rsidRDefault="004A6500">
      <w:pPr>
        <w:spacing w:line="240" w:lineRule="auto"/>
        <w:jc w:val="center"/>
        <w:rPr>
          <w:rFonts w:ascii="Arial Narrow" w:eastAsia="Arial Narrow" w:hAnsi="Arial Narrow" w:cs="Arial Narrow"/>
          <w:b/>
          <w:bCs/>
        </w:rPr>
      </w:pPr>
      <w:bookmarkStart w:id="4" w:name="_heading=h.7ffag6yynogb" w:colFirst="0" w:colLast="0"/>
      <w:bookmarkEnd w:id="4"/>
      <w:r>
        <w:rPr>
          <w:rFonts w:ascii="Arial Narrow" w:eastAsia="Arial Narrow" w:hAnsi="Arial Narrow" w:cs="Arial Narrow"/>
          <w:b/>
          <w:bCs/>
        </w:rPr>
        <w:t>ROBINSON FELIPE ACOSTA ORTEGA</w:t>
      </w:r>
    </w:p>
    <w:p w14:paraId="217402E8" w14:textId="77777777" w:rsidR="00FF1F16" w:rsidRDefault="004A6500">
      <w:pPr>
        <w:spacing w:line="240" w:lineRule="auto"/>
        <w:jc w:val="center"/>
        <w:rPr>
          <w:rFonts w:ascii="Arial Narrow" w:eastAsia="Arial Narrow" w:hAnsi="Arial Narrow" w:cs="Arial Narrow"/>
        </w:rPr>
      </w:pPr>
      <w:r>
        <w:rPr>
          <w:rFonts w:ascii="Arial Narrow" w:eastAsia="Arial Narrow" w:hAnsi="Arial Narrow" w:cs="Arial Narrow"/>
        </w:rPr>
        <w:t>Gerente</w:t>
      </w:r>
    </w:p>
    <w:p w14:paraId="7AA05293" w14:textId="77777777" w:rsidR="00FF1F16" w:rsidRDefault="004A6500">
      <w:pPr>
        <w:spacing w:line="240" w:lineRule="auto"/>
        <w:jc w:val="center"/>
        <w:rPr>
          <w:rFonts w:ascii="Arial Narrow" w:eastAsia="Arial Narrow" w:hAnsi="Arial Narrow" w:cs="Arial Narrow"/>
        </w:rPr>
      </w:pPr>
      <w:r>
        <w:rPr>
          <w:rFonts w:ascii="Arial Narrow" w:eastAsia="Arial Narrow" w:hAnsi="Arial Narrow" w:cs="Arial Narrow"/>
        </w:rPr>
        <w:t>MOVILIDAD FUTURA S.A.S</w:t>
      </w:r>
    </w:p>
    <w:p w14:paraId="738CB880" w14:textId="77777777" w:rsidR="00FF1F16" w:rsidRDefault="00FF1F16">
      <w:pPr>
        <w:spacing w:line="240" w:lineRule="auto"/>
        <w:jc w:val="center"/>
        <w:rPr>
          <w:rFonts w:ascii="Arial Narrow" w:eastAsia="Arial Narrow" w:hAnsi="Arial Narrow" w:cs="Arial Narrow"/>
        </w:rPr>
      </w:pPr>
    </w:p>
    <w:p w14:paraId="788F044D" w14:textId="77777777" w:rsidR="00FF1F16" w:rsidRDefault="00FF1F16">
      <w:pPr>
        <w:spacing w:line="240" w:lineRule="auto"/>
        <w:rPr>
          <w:rFonts w:ascii="Arial Narrow" w:eastAsia="Arial Narrow" w:hAnsi="Arial Narrow" w:cs="Arial Narrow"/>
          <w:sz w:val="18"/>
          <w:szCs w:val="18"/>
        </w:rPr>
      </w:pPr>
    </w:p>
    <w:p w14:paraId="21A4FD47" w14:textId="77777777" w:rsidR="00FF1F16" w:rsidRDefault="004A6500">
      <w:pPr>
        <w:spacing w:line="240" w:lineRule="auto"/>
        <w:rPr>
          <w:rFonts w:ascii="Arial Narrow" w:eastAsia="Arial Narrow" w:hAnsi="Arial Narrow" w:cs="Arial Narrow"/>
          <w:sz w:val="18"/>
          <w:szCs w:val="18"/>
        </w:rPr>
      </w:pPr>
      <w:r>
        <w:rPr>
          <w:rFonts w:ascii="Arial Narrow" w:eastAsia="Arial Narrow" w:hAnsi="Arial Narrow" w:cs="Arial Narrow"/>
          <w:sz w:val="18"/>
          <w:szCs w:val="18"/>
        </w:rPr>
        <w:t xml:space="preserve">Proyectó: </w:t>
      </w:r>
      <w:r>
        <w:rPr>
          <w:rFonts w:ascii="Arial Narrow" w:eastAsia="Arial Narrow" w:hAnsi="Arial Narrow" w:cs="Arial Narrow"/>
          <w:sz w:val="18"/>
          <w:szCs w:val="18"/>
        </w:rPr>
        <w:tab/>
        <w:t>Gloria Patricia Bolaños Mosquera – Contratista Coordinador Operaciones</w:t>
      </w:r>
    </w:p>
    <w:p w14:paraId="519557A5" w14:textId="77777777" w:rsidR="00FF1F16" w:rsidRDefault="004A6500">
      <w:pPr>
        <w:spacing w:line="240" w:lineRule="auto"/>
        <w:ind w:firstLine="720"/>
        <w:rPr>
          <w:rFonts w:ascii="Arial Narrow" w:eastAsia="Arial Narrow" w:hAnsi="Arial Narrow" w:cs="Arial Narrow"/>
          <w:sz w:val="18"/>
          <w:szCs w:val="18"/>
        </w:rPr>
      </w:pPr>
      <w:r>
        <w:rPr>
          <w:rFonts w:ascii="Arial Narrow" w:eastAsia="Arial Narrow" w:hAnsi="Arial Narrow" w:cs="Arial Narrow"/>
          <w:sz w:val="18"/>
          <w:szCs w:val="18"/>
        </w:rPr>
        <w:t>David Montes – Contratista Coordinador Infraestructura</w:t>
      </w:r>
    </w:p>
    <w:p w14:paraId="69504063" w14:textId="77777777" w:rsidR="00FF1F16" w:rsidRDefault="004A6500">
      <w:pPr>
        <w:spacing w:line="240" w:lineRule="auto"/>
        <w:ind w:firstLine="720"/>
        <w:rPr>
          <w:rFonts w:ascii="Arial Narrow" w:eastAsia="Arial Narrow" w:hAnsi="Arial Narrow" w:cs="Arial Narrow"/>
          <w:sz w:val="18"/>
          <w:szCs w:val="18"/>
        </w:rPr>
      </w:pPr>
      <w:r>
        <w:rPr>
          <w:rFonts w:ascii="Arial Narrow" w:eastAsia="Arial Narrow" w:hAnsi="Arial Narrow" w:cs="Arial Narrow"/>
          <w:sz w:val="18"/>
          <w:szCs w:val="18"/>
        </w:rPr>
        <w:t>Manuel Alberto Parra Tobar – Líder Jurídico Movilidad Futura S.A.S./</w:t>
      </w:r>
    </w:p>
    <w:p w14:paraId="46C301F0" w14:textId="77777777" w:rsidR="00FF1F16" w:rsidRDefault="004A6500">
      <w:pPr>
        <w:spacing w:line="240" w:lineRule="auto"/>
        <w:rPr>
          <w:rFonts w:ascii="Arial Narrow" w:eastAsia="Arial Narrow" w:hAnsi="Arial Narrow" w:cs="Arial Narrow"/>
          <w:b/>
          <w:bCs/>
          <w:color w:val="222222"/>
          <w:sz w:val="18"/>
          <w:szCs w:val="18"/>
          <w:highlight w:val="white"/>
        </w:rPr>
      </w:pPr>
      <w:r>
        <w:rPr>
          <w:rFonts w:ascii="Arial Narrow" w:eastAsia="Arial Narrow" w:hAnsi="Arial Narrow" w:cs="Arial Narrow"/>
          <w:sz w:val="18"/>
          <w:szCs w:val="18"/>
        </w:rPr>
        <w:t xml:space="preserve">Revisó: </w:t>
      </w:r>
      <w:r>
        <w:rPr>
          <w:rFonts w:ascii="Arial Narrow" w:eastAsia="Arial Narrow" w:hAnsi="Arial Narrow" w:cs="Arial Narrow"/>
          <w:sz w:val="18"/>
          <w:szCs w:val="18"/>
        </w:rPr>
        <w:tab/>
        <w:t>Manuel Alberto Parra Tobar – Líder Jurídico Movilidad Futura S.A.S./</w:t>
      </w:r>
    </w:p>
    <w:p w14:paraId="422E2436" w14:textId="77777777" w:rsidR="00FF1F16" w:rsidRDefault="004A6500">
      <w:pPr>
        <w:spacing w:line="240" w:lineRule="auto"/>
        <w:rPr>
          <w:rFonts w:ascii="Arial Narrow" w:eastAsia="Arial Narrow" w:hAnsi="Arial Narrow" w:cs="Arial Narrow"/>
          <w:sz w:val="18"/>
          <w:szCs w:val="18"/>
        </w:rPr>
      </w:pPr>
      <w:proofErr w:type="spellStart"/>
      <w:r>
        <w:rPr>
          <w:rFonts w:ascii="Arial Narrow" w:eastAsia="Arial Narrow" w:hAnsi="Arial Narrow" w:cs="Arial Narrow"/>
          <w:sz w:val="18"/>
          <w:szCs w:val="18"/>
        </w:rPr>
        <w:t>VoBo</w:t>
      </w:r>
      <w:proofErr w:type="spellEnd"/>
      <w:r>
        <w:rPr>
          <w:rFonts w:ascii="Arial Narrow" w:eastAsia="Arial Narrow" w:hAnsi="Arial Narrow" w:cs="Arial Narrow"/>
          <w:sz w:val="18"/>
          <w:szCs w:val="18"/>
        </w:rPr>
        <w:t xml:space="preserve">: </w:t>
      </w:r>
      <w:r>
        <w:rPr>
          <w:rFonts w:ascii="Arial Narrow" w:eastAsia="Arial Narrow" w:hAnsi="Arial Narrow" w:cs="Arial Narrow"/>
          <w:sz w:val="18"/>
          <w:szCs w:val="18"/>
        </w:rPr>
        <w:tab/>
        <w:t>Robinson Felipe Acosta Ortega – Gerente.</w:t>
      </w:r>
    </w:p>
    <w:sectPr w:rsidR="00FF1F16">
      <w:headerReference w:type="even" r:id="rId12"/>
      <w:headerReference w:type="default" r:id="rId13"/>
      <w:footerReference w:type="even" r:id="rId14"/>
      <w:footerReference w:type="default" r:id="rId15"/>
      <w:headerReference w:type="first" r:id="rId16"/>
      <w:footerReference w:type="first" r:id="rId17"/>
      <w:pgSz w:w="12240" w:h="15840"/>
      <w:pgMar w:top="851" w:right="1418" w:bottom="1418" w:left="1559" w:header="68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EA8D3C" w14:textId="77777777" w:rsidR="0039680D" w:rsidRDefault="0039680D">
      <w:pPr>
        <w:spacing w:line="240" w:lineRule="auto"/>
      </w:pPr>
      <w:r>
        <w:separator/>
      </w:r>
    </w:p>
  </w:endnote>
  <w:endnote w:type="continuationSeparator" w:id="0">
    <w:p w14:paraId="51D5B3AC" w14:textId="77777777" w:rsidR="0039680D" w:rsidRDefault="0039680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de3of9">
    <w:altName w:val="Calibri"/>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Regular r:id="rId1" w:fontKey="{B69B8E15-0E92-4F4E-B1A4-48BFF38408E9}"/>
    <w:embedBold r:id="rId2" w:fontKey="{313A464F-9EE7-41F7-9A5F-9EE531CED623}"/>
    <w:embedItalic r:id="rId3" w:fontKey="{DE5655B8-D6AE-4EC7-AF8E-67C0F43EF3BB}"/>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4" w:fontKey="{59421A3E-D9EC-459D-8F3D-5CCC5304ECB9}"/>
  </w:font>
  <w:font w:name="Cambria">
    <w:panose1 w:val="02040503050406030204"/>
    <w:charset w:val="00"/>
    <w:family w:val="roman"/>
    <w:pitch w:val="variable"/>
    <w:sig w:usb0="E00006FF" w:usb1="420024FF" w:usb2="02000000" w:usb3="00000000" w:csb0="0000019F" w:csb1="00000000"/>
    <w:embedRegular r:id="rId5" w:fontKey="{0854E9D5-2B3E-45C9-B865-F11E621B30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47018E" w14:textId="77777777" w:rsidR="00FF1F16" w:rsidRDefault="00FF1F16">
    <w:pPr>
      <w:pBdr>
        <w:top w:val="nil"/>
        <w:left w:val="nil"/>
        <w:bottom w:val="nil"/>
        <w:right w:val="nil"/>
        <w:between w:val="nil"/>
      </w:pBdr>
      <w:tabs>
        <w:tab w:val="center" w:pos="4419"/>
        <w:tab w:val="right" w:pos="8838"/>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BB329" w14:textId="77777777" w:rsidR="00FF1F16" w:rsidRDefault="004A6500">
    <w:pPr>
      <w:pBdr>
        <w:top w:val="nil"/>
        <w:left w:val="nil"/>
        <w:bottom w:val="nil"/>
        <w:right w:val="nil"/>
        <w:between w:val="nil"/>
      </w:pBdr>
      <w:tabs>
        <w:tab w:val="center" w:pos="4419"/>
        <w:tab w:val="right" w:pos="8838"/>
      </w:tabs>
      <w:spacing w:line="240" w:lineRule="auto"/>
      <w:rPr>
        <w:color w:val="000000"/>
        <w:sz w:val="12"/>
        <w:szCs w:val="12"/>
      </w:rPr>
    </w:pPr>
    <w:r>
      <w:rPr>
        <w:noProof/>
      </w:rPr>
      <w:drawing>
        <wp:anchor distT="0" distB="0" distL="0" distR="0" simplePos="0" relativeHeight="251657728" behindDoc="1" locked="0" layoutInCell="1" hidden="0" allowOverlap="1" wp14:anchorId="655B0568" wp14:editId="6FEB4437">
          <wp:simplePos x="0" y="0"/>
          <wp:positionH relativeFrom="column">
            <wp:posOffset>-1254123</wp:posOffset>
          </wp:positionH>
          <wp:positionV relativeFrom="paragraph">
            <wp:posOffset>-459738</wp:posOffset>
          </wp:positionV>
          <wp:extent cx="2631346" cy="1702435"/>
          <wp:effectExtent l="0" t="0" r="0" b="0"/>
          <wp:wrapNone/>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
                  <a:srcRect/>
                  <a:stretch>
                    <a:fillRect/>
                  </a:stretch>
                </pic:blipFill>
                <pic:spPr>
                  <a:xfrm>
                    <a:off x="0" y="0"/>
                    <a:ext cx="2631346" cy="1702435"/>
                  </a:xfrm>
                  <a:prstGeom prst="rect">
                    <a:avLst/>
                  </a:prstGeom>
                  <a:ln/>
                </pic:spPr>
              </pic:pic>
            </a:graphicData>
          </a:graphic>
        </wp:anchor>
      </w:drawing>
    </w:r>
  </w:p>
  <w:p w14:paraId="1735177F" w14:textId="77777777" w:rsidR="00FF1F16" w:rsidRDefault="004A6500">
    <w:pPr>
      <w:pBdr>
        <w:top w:val="nil"/>
        <w:left w:val="nil"/>
        <w:bottom w:val="nil"/>
        <w:right w:val="nil"/>
        <w:between w:val="nil"/>
      </w:pBdr>
      <w:tabs>
        <w:tab w:val="center" w:pos="4419"/>
        <w:tab w:val="center" w:pos="4631"/>
        <w:tab w:val="left" w:pos="7016"/>
        <w:tab w:val="right" w:pos="8838"/>
      </w:tabs>
      <w:spacing w:line="240" w:lineRule="auto"/>
      <w:rPr>
        <w:color w:val="000000"/>
        <w:sz w:val="12"/>
        <w:szCs w:val="12"/>
      </w:rPr>
    </w:pPr>
    <w:r>
      <w:rPr>
        <w:color w:val="000000"/>
        <w:sz w:val="12"/>
        <w:szCs w:val="12"/>
      </w:rPr>
      <w:tab/>
      <w:t xml:space="preserve">Carrera 9 </w:t>
    </w:r>
    <w:proofErr w:type="spellStart"/>
    <w:r>
      <w:rPr>
        <w:color w:val="000000"/>
        <w:sz w:val="12"/>
        <w:szCs w:val="12"/>
      </w:rPr>
      <w:t>N°</w:t>
    </w:r>
    <w:proofErr w:type="spellEnd"/>
    <w:r>
      <w:rPr>
        <w:color w:val="000000"/>
        <w:sz w:val="12"/>
        <w:szCs w:val="12"/>
      </w:rPr>
      <w:t xml:space="preserve"> 62 N 47 –Bellavista Popayán</w:t>
    </w:r>
  </w:p>
  <w:p w14:paraId="6AD31051" w14:textId="77777777" w:rsidR="00FF1F16" w:rsidRDefault="004A6500">
    <w:pPr>
      <w:pBdr>
        <w:top w:val="nil"/>
        <w:left w:val="nil"/>
        <w:bottom w:val="nil"/>
        <w:right w:val="nil"/>
        <w:between w:val="nil"/>
      </w:pBdr>
      <w:tabs>
        <w:tab w:val="center" w:pos="4419"/>
        <w:tab w:val="right" w:pos="8838"/>
      </w:tabs>
      <w:spacing w:line="240" w:lineRule="auto"/>
      <w:jc w:val="center"/>
      <w:rPr>
        <w:color w:val="000000"/>
        <w:sz w:val="12"/>
        <w:szCs w:val="12"/>
      </w:rPr>
    </w:pPr>
    <w:r>
      <w:rPr>
        <w:color w:val="000000"/>
        <w:sz w:val="12"/>
        <w:szCs w:val="12"/>
      </w:rPr>
      <w:t xml:space="preserve"> Teléfono: 8205898</w:t>
    </w:r>
  </w:p>
  <w:p w14:paraId="3E25E192" w14:textId="77777777" w:rsidR="00FF1F16" w:rsidRDefault="0039680D">
    <w:pPr>
      <w:pBdr>
        <w:top w:val="nil"/>
        <w:left w:val="nil"/>
        <w:bottom w:val="nil"/>
        <w:right w:val="nil"/>
        <w:between w:val="nil"/>
      </w:pBdr>
      <w:tabs>
        <w:tab w:val="center" w:pos="4419"/>
        <w:tab w:val="right" w:pos="8838"/>
      </w:tabs>
      <w:spacing w:line="240" w:lineRule="auto"/>
      <w:jc w:val="center"/>
      <w:rPr>
        <w:color w:val="000000"/>
        <w:sz w:val="12"/>
        <w:szCs w:val="12"/>
      </w:rPr>
    </w:pPr>
    <w:hyperlink r:id="rId2">
      <w:r w:rsidR="004A6500">
        <w:rPr>
          <w:color w:val="0000FF"/>
          <w:sz w:val="12"/>
          <w:szCs w:val="12"/>
          <w:u w:val="single"/>
        </w:rPr>
        <w:t>www.movilidadfutura.gov.co</w:t>
      </w:r>
    </w:hyperlink>
    <w:r w:rsidR="004A6500">
      <w:rPr>
        <w:color w:val="000000"/>
        <w:sz w:val="12"/>
        <w:szCs w:val="12"/>
      </w:rPr>
      <w:t xml:space="preserve"> – servicioalciudadano@movilidadfutura.gov.co</w:t>
    </w:r>
  </w:p>
  <w:p w14:paraId="4E4B787A" w14:textId="77777777" w:rsidR="00FF1F16" w:rsidRDefault="004A6500">
    <w:pPr>
      <w:pBdr>
        <w:top w:val="nil"/>
        <w:left w:val="nil"/>
        <w:bottom w:val="nil"/>
        <w:right w:val="nil"/>
        <w:between w:val="nil"/>
      </w:pBdr>
      <w:tabs>
        <w:tab w:val="center" w:pos="4419"/>
        <w:tab w:val="right" w:pos="8838"/>
      </w:tabs>
      <w:spacing w:line="240" w:lineRule="auto"/>
      <w:jc w:val="center"/>
      <w:rPr>
        <w:color w:val="000000"/>
        <w:sz w:val="12"/>
        <w:szCs w:val="12"/>
      </w:rPr>
    </w:pPr>
    <w:r>
      <w:rPr>
        <w:color w:val="000000"/>
        <w:sz w:val="12"/>
        <w:szCs w:val="12"/>
      </w:rPr>
      <w:t>Nit:900323358-2</w:t>
    </w:r>
  </w:p>
  <w:p w14:paraId="4059C360" w14:textId="77777777" w:rsidR="00FF1F16" w:rsidRDefault="00FF1F16">
    <w:pPr>
      <w:pBdr>
        <w:top w:val="nil"/>
        <w:left w:val="nil"/>
        <w:bottom w:val="nil"/>
        <w:right w:val="nil"/>
        <w:between w:val="nil"/>
      </w:pBdr>
      <w:tabs>
        <w:tab w:val="center" w:pos="4419"/>
        <w:tab w:val="right" w:pos="8838"/>
      </w:tabs>
      <w:spacing w:line="240" w:lineRule="auto"/>
      <w:jc w:val="center"/>
      <w:rPr>
        <w:color w:val="000000"/>
        <w:sz w:val="12"/>
        <w:szCs w:val="12"/>
      </w:rPr>
    </w:pPr>
  </w:p>
  <w:p w14:paraId="4EA918A9" w14:textId="77777777" w:rsidR="00FF1F16" w:rsidRDefault="004A6500">
    <w:pPr>
      <w:pBdr>
        <w:top w:val="nil"/>
        <w:left w:val="nil"/>
        <w:bottom w:val="nil"/>
        <w:right w:val="nil"/>
        <w:between w:val="nil"/>
      </w:pBdr>
      <w:tabs>
        <w:tab w:val="center" w:pos="4419"/>
        <w:tab w:val="right" w:pos="8838"/>
      </w:tabs>
      <w:spacing w:line="240" w:lineRule="auto"/>
      <w:jc w:val="right"/>
      <w:rPr>
        <w:color w:val="000000"/>
        <w:sz w:val="12"/>
        <w:szCs w:val="12"/>
      </w:rPr>
    </w:pPr>
    <w:r>
      <w:rPr>
        <w:color w:val="000000"/>
        <w:sz w:val="12"/>
        <w:szCs w:val="12"/>
      </w:rPr>
      <w:t xml:space="preserve">Página </w:t>
    </w:r>
    <w:r>
      <w:rPr>
        <w:b/>
        <w:bCs/>
        <w:color w:val="000000"/>
        <w:sz w:val="12"/>
        <w:szCs w:val="12"/>
      </w:rPr>
      <w:fldChar w:fldCharType="begin"/>
    </w:r>
    <w:r>
      <w:rPr>
        <w:b/>
        <w:bCs/>
        <w:color w:val="000000"/>
        <w:sz w:val="12"/>
        <w:szCs w:val="12"/>
      </w:rPr>
      <w:instrText>PAGE</w:instrText>
    </w:r>
    <w:r>
      <w:rPr>
        <w:b/>
        <w:bCs/>
        <w:color w:val="000000"/>
        <w:sz w:val="12"/>
        <w:szCs w:val="12"/>
      </w:rPr>
      <w:fldChar w:fldCharType="separate"/>
    </w:r>
    <w:r w:rsidR="009A020C">
      <w:rPr>
        <w:b/>
        <w:bCs/>
        <w:noProof/>
        <w:color w:val="000000"/>
        <w:sz w:val="12"/>
        <w:szCs w:val="12"/>
      </w:rPr>
      <w:t>1</w:t>
    </w:r>
    <w:r>
      <w:rPr>
        <w:b/>
        <w:bCs/>
        <w:color w:val="000000"/>
        <w:sz w:val="12"/>
        <w:szCs w:val="12"/>
      </w:rPr>
      <w:fldChar w:fldCharType="end"/>
    </w:r>
    <w:r>
      <w:rPr>
        <w:color w:val="000000"/>
        <w:sz w:val="12"/>
        <w:szCs w:val="12"/>
      </w:rPr>
      <w:t xml:space="preserve"> de </w:t>
    </w:r>
    <w:r>
      <w:rPr>
        <w:b/>
        <w:bCs/>
        <w:color w:val="000000"/>
        <w:sz w:val="12"/>
        <w:szCs w:val="12"/>
      </w:rPr>
      <w:fldChar w:fldCharType="begin"/>
    </w:r>
    <w:r>
      <w:rPr>
        <w:b/>
        <w:bCs/>
        <w:color w:val="000000"/>
        <w:sz w:val="12"/>
        <w:szCs w:val="12"/>
      </w:rPr>
      <w:instrText>NUMPAGES</w:instrText>
    </w:r>
    <w:r>
      <w:rPr>
        <w:b/>
        <w:bCs/>
        <w:color w:val="000000"/>
        <w:sz w:val="12"/>
        <w:szCs w:val="12"/>
      </w:rPr>
      <w:fldChar w:fldCharType="separate"/>
    </w:r>
    <w:r w:rsidR="009A020C">
      <w:rPr>
        <w:b/>
        <w:bCs/>
        <w:noProof/>
        <w:color w:val="000000"/>
        <w:sz w:val="12"/>
        <w:szCs w:val="12"/>
      </w:rPr>
      <w:t>1</w:t>
    </w:r>
    <w:r>
      <w:rPr>
        <w:b/>
        <w:bCs/>
        <w:color w:val="000000"/>
        <w:sz w:val="12"/>
        <w:szCs w:val="12"/>
      </w:rPr>
      <w:fldChar w:fldCharType="end"/>
    </w:r>
  </w:p>
  <w:p w14:paraId="4823DC9E" w14:textId="77777777" w:rsidR="00FF1F16" w:rsidRDefault="004A6500">
    <w:pPr>
      <w:pBdr>
        <w:top w:val="nil"/>
        <w:left w:val="nil"/>
        <w:bottom w:val="nil"/>
        <w:right w:val="nil"/>
        <w:between w:val="nil"/>
      </w:pBdr>
      <w:tabs>
        <w:tab w:val="center" w:pos="4419"/>
        <w:tab w:val="right" w:pos="8838"/>
      </w:tabs>
      <w:spacing w:line="240" w:lineRule="auto"/>
      <w:rPr>
        <w:color w:val="000000"/>
      </w:rPr>
    </w:pPr>
    <w:r>
      <w:rPr>
        <w:noProof/>
      </w:rPr>
      <w:drawing>
        <wp:anchor distT="0" distB="0" distL="0" distR="0" simplePos="0" relativeHeight="251658752" behindDoc="1" locked="0" layoutInCell="1" hidden="0" allowOverlap="1" wp14:anchorId="2FA4DF3A" wp14:editId="6314879D">
          <wp:simplePos x="0" y="0"/>
          <wp:positionH relativeFrom="column">
            <wp:posOffset>2370455</wp:posOffset>
          </wp:positionH>
          <wp:positionV relativeFrom="paragraph">
            <wp:posOffset>63500</wp:posOffset>
          </wp:positionV>
          <wp:extent cx="1562100" cy="472487"/>
          <wp:effectExtent l="0" t="0" r="0" b="0"/>
          <wp:wrapNone/>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
                  <a:srcRect l="8500" t="23618" r="10500" b="13829"/>
                  <a:stretch>
                    <a:fillRect/>
                  </a:stretch>
                </pic:blipFill>
                <pic:spPr>
                  <a:xfrm>
                    <a:off x="0" y="0"/>
                    <a:ext cx="1562100" cy="472487"/>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CD93F" w14:textId="77777777" w:rsidR="00FF1F16" w:rsidRDefault="00FF1F16">
    <w:pPr>
      <w:pBdr>
        <w:top w:val="nil"/>
        <w:left w:val="nil"/>
        <w:bottom w:val="nil"/>
        <w:right w:val="nil"/>
        <w:between w:val="nil"/>
      </w:pBdr>
      <w:tabs>
        <w:tab w:val="center" w:pos="4419"/>
        <w:tab w:val="right" w:pos="88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4755C1" w14:textId="77777777" w:rsidR="0039680D" w:rsidRDefault="0039680D">
      <w:pPr>
        <w:spacing w:line="240" w:lineRule="auto"/>
      </w:pPr>
      <w:r>
        <w:separator/>
      </w:r>
    </w:p>
  </w:footnote>
  <w:footnote w:type="continuationSeparator" w:id="0">
    <w:p w14:paraId="6DF62FFB" w14:textId="77777777" w:rsidR="0039680D" w:rsidRDefault="0039680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EB684" w14:textId="77777777" w:rsidR="00FF1F16" w:rsidRDefault="0039680D">
    <w:pPr>
      <w:pBdr>
        <w:top w:val="nil"/>
        <w:left w:val="nil"/>
        <w:bottom w:val="nil"/>
        <w:right w:val="nil"/>
        <w:between w:val="nil"/>
      </w:pBdr>
      <w:tabs>
        <w:tab w:val="center" w:pos="4419"/>
        <w:tab w:val="right" w:pos="8838"/>
      </w:tabs>
      <w:spacing w:line="240" w:lineRule="auto"/>
      <w:rPr>
        <w:color w:val="000000"/>
      </w:rPr>
    </w:pPr>
    <w:r>
      <w:rPr>
        <w:color w:val="000000"/>
      </w:rPr>
      <w:pict w14:anchorId="5A94D1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62.8pt;height:598.95pt;z-index:-251655680;mso-position-horizontal:center;mso-position-horizontal-relative:margin;mso-position-vertical:center;mso-position-vertical-relative:margin">
          <v:imagedata r:id="rId1" o:title="image10"/>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62E71" w14:textId="77777777" w:rsidR="00FF1F16" w:rsidRDefault="004A6500">
    <w:pPr>
      <w:pBdr>
        <w:top w:val="nil"/>
        <w:left w:val="nil"/>
        <w:bottom w:val="nil"/>
        <w:right w:val="nil"/>
        <w:between w:val="nil"/>
      </w:pBdr>
      <w:tabs>
        <w:tab w:val="center" w:pos="4419"/>
        <w:tab w:val="right" w:pos="8838"/>
      </w:tabs>
      <w:spacing w:line="240" w:lineRule="auto"/>
      <w:rPr>
        <w:color w:val="000000"/>
      </w:rPr>
    </w:pPr>
    <w:r>
      <w:rPr>
        <w:noProof/>
      </w:rPr>
      <w:drawing>
        <wp:anchor distT="0" distB="0" distL="0" distR="0" simplePos="0" relativeHeight="251654656" behindDoc="1" locked="0" layoutInCell="1" hidden="0" allowOverlap="1" wp14:anchorId="1A29547C" wp14:editId="3E9AE82C">
          <wp:simplePos x="0" y="0"/>
          <wp:positionH relativeFrom="column">
            <wp:posOffset>4946015</wp:posOffset>
          </wp:positionH>
          <wp:positionV relativeFrom="paragraph">
            <wp:posOffset>55243</wp:posOffset>
          </wp:positionV>
          <wp:extent cx="876300" cy="756505"/>
          <wp:effectExtent l="0" t="0" r="0" b="0"/>
          <wp:wrapNone/>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76300" cy="756505"/>
                  </a:xfrm>
                  <a:prstGeom prst="rect">
                    <a:avLst/>
                  </a:prstGeom>
                  <a:ln/>
                </pic:spPr>
              </pic:pic>
            </a:graphicData>
          </a:graphic>
        </wp:anchor>
      </w:drawing>
    </w:r>
    <w:r>
      <w:rPr>
        <w:noProof/>
      </w:rPr>
      <w:drawing>
        <wp:anchor distT="0" distB="0" distL="0" distR="0" simplePos="0" relativeHeight="251655680" behindDoc="1" locked="0" layoutInCell="1" hidden="0" allowOverlap="1" wp14:anchorId="57C9B2A1" wp14:editId="6FD6B1BD">
          <wp:simplePos x="0" y="0"/>
          <wp:positionH relativeFrom="column">
            <wp:posOffset>-603883</wp:posOffset>
          </wp:positionH>
          <wp:positionV relativeFrom="paragraph">
            <wp:posOffset>-106678</wp:posOffset>
          </wp:positionV>
          <wp:extent cx="1601712" cy="934720"/>
          <wp:effectExtent l="0" t="0" r="0" b="0"/>
          <wp:wrapNone/>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
                  <a:srcRect/>
                  <a:stretch>
                    <a:fillRect/>
                  </a:stretch>
                </pic:blipFill>
                <pic:spPr>
                  <a:xfrm>
                    <a:off x="0" y="0"/>
                    <a:ext cx="1601712" cy="934720"/>
                  </a:xfrm>
                  <a:prstGeom prst="rect">
                    <a:avLst/>
                  </a:prstGeom>
                  <a:ln/>
                </pic:spPr>
              </pic:pic>
            </a:graphicData>
          </a:graphic>
        </wp:anchor>
      </w:drawing>
    </w:r>
    <w:r>
      <w:rPr>
        <w:noProof/>
      </w:rPr>
      <w:drawing>
        <wp:anchor distT="0" distB="0" distL="114300" distR="114300" simplePos="0" relativeHeight="251656704" behindDoc="0" locked="0" layoutInCell="1" hidden="0" allowOverlap="1" wp14:anchorId="1A6D850A" wp14:editId="7695A154">
          <wp:simplePos x="0" y="0"/>
          <wp:positionH relativeFrom="column">
            <wp:posOffset>4476115</wp:posOffset>
          </wp:positionH>
          <wp:positionV relativeFrom="paragraph">
            <wp:posOffset>-452118</wp:posOffset>
          </wp:positionV>
          <wp:extent cx="2344722" cy="849750"/>
          <wp:effectExtent l="0" t="0" r="0" b="0"/>
          <wp:wrapNone/>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
                  <a:srcRect/>
                  <a:stretch>
                    <a:fillRect/>
                  </a:stretch>
                </pic:blipFill>
                <pic:spPr>
                  <a:xfrm>
                    <a:off x="0" y="0"/>
                    <a:ext cx="2344722" cy="849750"/>
                  </a:xfrm>
                  <a:prstGeom prst="rect">
                    <a:avLst/>
                  </a:prstGeom>
                  <a:ln/>
                </pic:spPr>
              </pic:pic>
            </a:graphicData>
          </a:graphic>
        </wp:anchor>
      </w:drawing>
    </w:r>
  </w:p>
  <w:tbl>
    <w:tblPr>
      <w:tblStyle w:val="ab"/>
      <w:tblW w:w="6508" w:type="dxa"/>
      <w:tblInd w:w="1299"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ayout w:type="fixed"/>
      <w:tblLook w:val="04A0" w:firstRow="1" w:lastRow="0" w:firstColumn="1" w:lastColumn="0" w:noHBand="0" w:noVBand="1"/>
    </w:tblPr>
    <w:tblGrid>
      <w:gridCol w:w="5235"/>
      <w:gridCol w:w="1273"/>
    </w:tblGrid>
    <w:tr w:rsidR="00FF1F16" w14:paraId="5882088A" w14:textId="77777777" w:rsidTr="00FF1F16">
      <w:trPr>
        <w:cnfStyle w:val="100000000000" w:firstRow="1" w:lastRow="0" w:firstColumn="0" w:lastColumn="0" w:oddVBand="0" w:evenVBand="0" w:oddHBand="0"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5235" w:type="dxa"/>
          <w:shd w:val="clear" w:color="auto" w:fill="auto"/>
          <w:vAlign w:val="center"/>
        </w:tcPr>
        <w:p w14:paraId="36008110" w14:textId="77777777" w:rsidR="00FF1F16" w:rsidRDefault="00FF1F16">
          <w:pPr>
            <w:jc w:val="both"/>
            <w:rPr>
              <w:rFonts w:ascii="Arial Narrow" w:eastAsia="Arial Narrow" w:hAnsi="Arial Narrow" w:cs="Arial Narrow"/>
            </w:rPr>
          </w:pPr>
        </w:p>
        <w:p w14:paraId="4C641EC0" w14:textId="77777777" w:rsidR="00FF1F16" w:rsidRDefault="004A6500">
          <w:pPr>
            <w:pBdr>
              <w:top w:val="nil"/>
              <w:left w:val="nil"/>
              <w:bottom w:val="nil"/>
              <w:right w:val="nil"/>
              <w:between w:val="nil"/>
            </w:pBdr>
            <w:spacing w:line="240" w:lineRule="auto"/>
            <w:jc w:val="center"/>
            <w:rPr>
              <w:color w:val="000000"/>
              <w:sz w:val="18"/>
              <w:szCs w:val="18"/>
            </w:rPr>
          </w:pPr>
          <w:r>
            <w:rPr>
              <w:b w:val="0"/>
              <w:bCs w:val="0"/>
              <w:color w:val="000000"/>
              <w:sz w:val="18"/>
              <w:szCs w:val="18"/>
            </w:rPr>
            <w:t>DIRECCIONAMIENTO ESTRATÉGICO</w:t>
          </w:r>
        </w:p>
      </w:tc>
      <w:tc>
        <w:tcPr>
          <w:tcW w:w="1273" w:type="dxa"/>
          <w:shd w:val="clear" w:color="auto" w:fill="auto"/>
          <w:vAlign w:val="center"/>
        </w:tcPr>
        <w:p w14:paraId="37FC80B8" w14:textId="77777777" w:rsidR="00FF1F16" w:rsidRDefault="004A6500">
          <w:pPr>
            <w:pBdr>
              <w:top w:val="nil"/>
              <w:left w:val="nil"/>
              <w:bottom w:val="nil"/>
              <w:right w:val="nil"/>
              <w:between w:val="nil"/>
            </w:pBdr>
            <w:spacing w:line="240" w:lineRule="auto"/>
            <w:jc w:val="center"/>
            <w:cnfStyle w:val="100000000000" w:firstRow="1" w:lastRow="0" w:firstColumn="0" w:lastColumn="0" w:oddVBand="0" w:evenVBand="0" w:oddHBand="0" w:evenHBand="0" w:firstRowFirstColumn="0" w:firstRowLastColumn="0" w:lastRowFirstColumn="0" w:lastRowLastColumn="0"/>
            <w:rPr>
              <w:color w:val="000000"/>
              <w:sz w:val="12"/>
              <w:szCs w:val="12"/>
            </w:rPr>
          </w:pPr>
          <w:r>
            <w:rPr>
              <w:b w:val="0"/>
              <w:bCs w:val="0"/>
              <w:color w:val="000000"/>
              <w:sz w:val="12"/>
              <w:szCs w:val="12"/>
            </w:rPr>
            <w:t xml:space="preserve">Código: </w:t>
          </w:r>
        </w:p>
        <w:p w14:paraId="6CE2EBEE" w14:textId="77777777" w:rsidR="00FF1F16" w:rsidRDefault="004A6500">
          <w:pPr>
            <w:pBdr>
              <w:top w:val="nil"/>
              <w:left w:val="nil"/>
              <w:bottom w:val="nil"/>
              <w:right w:val="nil"/>
              <w:between w:val="nil"/>
            </w:pBdr>
            <w:spacing w:line="240" w:lineRule="auto"/>
            <w:jc w:val="center"/>
            <w:cnfStyle w:val="100000000000" w:firstRow="1" w:lastRow="0" w:firstColumn="0" w:lastColumn="0" w:oddVBand="0" w:evenVBand="0" w:oddHBand="0" w:evenHBand="0" w:firstRowFirstColumn="0" w:firstRowLastColumn="0" w:lastRowFirstColumn="0" w:lastRowLastColumn="0"/>
            <w:rPr>
              <w:color w:val="000000"/>
              <w:sz w:val="12"/>
              <w:szCs w:val="12"/>
            </w:rPr>
          </w:pPr>
          <w:r>
            <w:rPr>
              <w:b w:val="0"/>
              <w:bCs w:val="0"/>
              <w:color w:val="000000"/>
              <w:sz w:val="12"/>
              <w:szCs w:val="12"/>
            </w:rPr>
            <w:t>F-01-G-1</w:t>
          </w:r>
        </w:p>
      </w:tc>
    </w:tr>
    <w:tr w:rsidR="00FF1F16" w14:paraId="65E988E1" w14:textId="77777777" w:rsidTr="00FF1F16">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5235" w:type="dxa"/>
          <w:vMerge w:val="restart"/>
          <w:shd w:val="clear" w:color="auto" w:fill="auto"/>
          <w:vAlign w:val="center"/>
        </w:tcPr>
        <w:p w14:paraId="0F8E725F" w14:textId="77777777" w:rsidR="00FF1F16" w:rsidRDefault="004A6500">
          <w:pPr>
            <w:pBdr>
              <w:top w:val="nil"/>
              <w:left w:val="nil"/>
              <w:bottom w:val="nil"/>
              <w:right w:val="nil"/>
              <w:between w:val="nil"/>
            </w:pBdr>
            <w:tabs>
              <w:tab w:val="center" w:pos="4252"/>
              <w:tab w:val="right" w:pos="8504"/>
            </w:tabs>
            <w:spacing w:line="240" w:lineRule="auto"/>
            <w:jc w:val="center"/>
            <w:rPr>
              <w:color w:val="000000"/>
              <w:sz w:val="18"/>
              <w:szCs w:val="18"/>
            </w:rPr>
          </w:pPr>
          <w:r>
            <w:rPr>
              <w:b w:val="0"/>
              <w:bCs w:val="0"/>
              <w:color w:val="000000"/>
              <w:sz w:val="18"/>
              <w:szCs w:val="18"/>
            </w:rPr>
            <w:t>COMUNICACIÓN EXTERNA</w:t>
          </w:r>
        </w:p>
      </w:tc>
      <w:tc>
        <w:tcPr>
          <w:tcW w:w="1273" w:type="dxa"/>
          <w:shd w:val="clear" w:color="auto" w:fill="auto"/>
          <w:vAlign w:val="center"/>
        </w:tcPr>
        <w:p w14:paraId="66C670FD" w14:textId="77777777" w:rsidR="00FF1F16" w:rsidRDefault="004A6500">
          <w:pPr>
            <w:pBdr>
              <w:top w:val="nil"/>
              <w:left w:val="nil"/>
              <w:bottom w:val="nil"/>
              <w:right w:val="nil"/>
              <w:between w:val="nil"/>
            </w:pBdr>
            <w:spacing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12"/>
              <w:szCs w:val="12"/>
            </w:rPr>
          </w:pPr>
          <w:r>
            <w:rPr>
              <w:b/>
              <w:bCs/>
              <w:color w:val="000000"/>
              <w:sz w:val="12"/>
              <w:szCs w:val="12"/>
            </w:rPr>
            <w:t>Versión: 03</w:t>
          </w:r>
        </w:p>
      </w:tc>
    </w:tr>
    <w:tr w:rsidR="00FF1F16" w14:paraId="3F7AD788" w14:textId="77777777" w:rsidTr="00FF1F16">
      <w:trPr>
        <w:trHeight w:val="223"/>
      </w:trPr>
      <w:tc>
        <w:tcPr>
          <w:cnfStyle w:val="001000000000" w:firstRow="0" w:lastRow="0" w:firstColumn="1" w:lastColumn="0" w:oddVBand="0" w:evenVBand="0" w:oddHBand="0" w:evenHBand="0" w:firstRowFirstColumn="0" w:firstRowLastColumn="0" w:lastRowFirstColumn="0" w:lastRowLastColumn="0"/>
          <w:tcW w:w="5235" w:type="dxa"/>
          <w:vMerge/>
          <w:shd w:val="clear" w:color="auto" w:fill="auto"/>
          <w:vAlign w:val="center"/>
        </w:tcPr>
        <w:p w14:paraId="4B34F9F4" w14:textId="77777777" w:rsidR="00FF1F16" w:rsidRDefault="00FF1F16">
          <w:pPr>
            <w:widowControl w:val="0"/>
            <w:pBdr>
              <w:top w:val="nil"/>
              <w:left w:val="nil"/>
              <w:bottom w:val="nil"/>
              <w:right w:val="nil"/>
              <w:between w:val="nil"/>
            </w:pBdr>
            <w:rPr>
              <w:b w:val="0"/>
              <w:bCs w:val="0"/>
              <w:color w:val="000000"/>
              <w:sz w:val="12"/>
              <w:szCs w:val="12"/>
            </w:rPr>
          </w:pPr>
        </w:p>
      </w:tc>
      <w:tc>
        <w:tcPr>
          <w:tcW w:w="1273" w:type="dxa"/>
          <w:shd w:val="clear" w:color="auto" w:fill="auto"/>
          <w:vAlign w:val="center"/>
        </w:tcPr>
        <w:p w14:paraId="4A65D3CA" w14:textId="77777777" w:rsidR="00FF1F16" w:rsidRDefault="004A6500">
          <w:pPr>
            <w:pBdr>
              <w:top w:val="nil"/>
              <w:left w:val="nil"/>
              <w:bottom w:val="nil"/>
              <w:right w:val="nil"/>
              <w:between w:val="nil"/>
            </w:pBdr>
            <w:spacing w:line="240"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sz w:val="12"/>
              <w:szCs w:val="12"/>
            </w:rPr>
            <w:t>Fecha: 26/02/2025</w:t>
          </w:r>
        </w:p>
      </w:tc>
    </w:tr>
  </w:tbl>
  <w:p w14:paraId="66AB4C81" w14:textId="77777777" w:rsidR="00FF1F16" w:rsidRDefault="00FF1F16">
    <w:pPr>
      <w:pBdr>
        <w:top w:val="nil"/>
        <w:left w:val="nil"/>
        <w:bottom w:val="nil"/>
        <w:right w:val="nil"/>
        <w:between w:val="nil"/>
      </w:pBdr>
      <w:tabs>
        <w:tab w:val="center" w:pos="4419"/>
        <w:tab w:val="right" w:pos="8838"/>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63438F" w14:textId="77777777" w:rsidR="00FF1F16" w:rsidRDefault="0039680D">
    <w:pPr>
      <w:pBdr>
        <w:top w:val="nil"/>
        <w:left w:val="nil"/>
        <w:bottom w:val="nil"/>
        <w:right w:val="nil"/>
        <w:between w:val="nil"/>
      </w:pBdr>
      <w:tabs>
        <w:tab w:val="center" w:pos="4419"/>
        <w:tab w:val="right" w:pos="8838"/>
      </w:tabs>
      <w:spacing w:line="240" w:lineRule="auto"/>
      <w:rPr>
        <w:color w:val="000000"/>
      </w:rPr>
    </w:pPr>
    <w:r>
      <w:rPr>
        <w:color w:val="000000"/>
      </w:rPr>
      <w:pict w14:anchorId="25A38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62.8pt;height:598.95pt;z-index:-251656704;mso-position-horizontal:center;mso-position-horizontal-relative:margin;mso-position-vertical:center;mso-position-vertical-relative:margin">
          <v:imagedata r:id="rId1" o:title="image10"/>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EF4C32"/>
    <w:multiLevelType w:val="multilevel"/>
    <w:tmpl w:val="D5A49A76"/>
    <w:lvl w:ilvl="0">
      <w:start w:val="5"/>
      <w:numFmt w:val="decimal"/>
      <w:lvlText w:val="%1"/>
      <w:lvlJc w:val="left"/>
      <w:pPr>
        <w:ind w:left="720" w:hanging="360"/>
      </w:pPr>
      <w:rPr>
        <w:rFonts w:ascii="Arial" w:eastAsia="Arial" w:hAnsi="Arial" w:cs="Arial"/>
        <w:b w:val="0"/>
        <w:bCs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5944698"/>
    <w:multiLevelType w:val="multilevel"/>
    <w:tmpl w:val="EFFA03E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7C84D66"/>
    <w:multiLevelType w:val="multilevel"/>
    <w:tmpl w:val="ED94D9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7625E1D"/>
    <w:multiLevelType w:val="multilevel"/>
    <w:tmpl w:val="8D3E2554"/>
    <w:lvl w:ilvl="0">
      <w:start w:val="1"/>
      <w:numFmt w:val="bullet"/>
      <w:lvlText w:val="●"/>
      <w:lvlJc w:val="left"/>
      <w:pPr>
        <w:ind w:left="720" w:hanging="360"/>
      </w:pPr>
      <w:rPr>
        <w:sz w:val="14"/>
        <w:szCs w:val="1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E11625A"/>
    <w:multiLevelType w:val="multilevel"/>
    <w:tmpl w:val="BE404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28932F8"/>
    <w:multiLevelType w:val="multilevel"/>
    <w:tmpl w:val="479A3590"/>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0"/>
  </w:num>
  <w:num w:numId="3">
    <w:abstractNumId w:val="1"/>
  </w:num>
  <w:num w:numId="4">
    <w:abstractNumId w:val="2"/>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1F16"/>
    <w:rsid w:val="0039680D"/>
    <w:rsid w:val="004A6500"/>
    <w:rsid w:val="009A020C"/>
    <w:rsid w:val="00D97EC0"/>
    <w:rsid w:val="00FF1F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272B81F"/>
  <w15:docId w15:val="{7ACCDF18-C50E-4F86-B233-B03D641E7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s-CO" w:eastAsia="es-CO"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115" w:type="dxa"/>
        <w:bottom w:w="0" w:type="dxa"/>
        <w:right w:w="115"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hyperlink" Target="http://www.movilidadfutura.gov.co" TargetMode="External"/><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vEDd21Jw7+nb+oEE+9DLuz8OOQ==">CgMxLjAaKwoBMBImCiQIB0IgCgxBcmlhbCBOYXJyb3cSEEFyaWFsIFVuaWNvZGUgTVMyDmguZW95MzJxaWpyZjNoMg5oLjc5NWg4cWdsN2JpaTINaC50ejR4ZWZwM2MweTIOaC43ZmZhZzZ5eW5vZ2I4AHIhMVRJeDVTZ3ZWRHpTcE5LdEJCZ1p5Qm9HbThRQzViOGEx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7603</Words>
  <Characters>41818</Characters>
  <Application>Microsoft Office Word</Application>
  <DocSecurity>0</DocSecurity>
  <Lines>348</Lines>
  <Paragraphs>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BERMUDEZ</dc:creator>
  <cp:lastModifiedBy>DIANA CAICEDO</cp:lastModifiedBy>
  <cp:revision>4</cp:revision>
  <cp:lastPrinted>2026-06-04T20:38:00Z</cp:lastPrinted>
  <dcterms:created xsi:type="dcterms:W3CDTF">2026-06-04T20:26:00Z</dcterms:created>
  <dcterms:modified xsi:type="dcterms:W3CDTF">2026-06-04T20:38:00Z</dcterms:modified>
</cp:coreProperties>
</file>